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53" w:rsidRPr="009A64D3" w:rsidRDefault="00210312" w:rsidP="001A5B6A">
      <w:pPr>
        <w:pStyle w:val="BodyText2"/>
        <w:ind w:left="142"/>
        <w:rPr>
          <w:rFonts w:ascii="Century Gothic" w:hAnsi="Century Gothic"/>
          <w:sz w:val="22"/>
          <w:szCs w:val="22"/>
          <w:lang w:val="fr-FR"/>
        </w:rPr>
      </w:pPr>
      <w:bookmarkStart w:id="0" w:name="_GoBack"/>
      <w:bookmarkEnd w:id="0"/>
      <w:r w:rsidRPr="009A64D3">
        <w:rPr>
          <w:rFonts w:ascii="Century Gothic" w:hAnsi="Century Gothic"/>
          <w:sz w:val="22"/>
          <w:szCs w:val="22"/>
          <w:lang w:val="fr-FR"/>
        </w:rPr>
        <w:t>FORMAT DES RAPPORTS NATIONAUX DES PARTIES CONTRACTANTES A LA CONVENTION DE NOUMEA</w:t>
      </w:r>
      <w:r w:rsidR="00281508" w:rsidRPr="009A64D3">
        <w:rPr>
          <w:rFonts w:ascii="Century Gothic" w:hAnsi="Century Gothic"/>
          <w:sz w:val="22"/>
          <w:szCs w:val="22"/>
          <w:lang w:val="fr-FR"/>
        </w:rPr>
        <w:t xml:space="preserve"> (PROE)</w:t>
      </w:r>
    </w:p>
    <w:p w:rsidR="007F7153" w:rsidRPr="009A64D3" w:rsidRDefault="007F7153">
      <w:pPr>
        <w:pStyle w:val="BodyText2"/>
        <w:jc w:val="left"/>
        <w:rPr>
          <w:rFonts w:ascii="Century Gothic" w:hAnsi="Century Gothic"/>
          <w:sz w:val="22"/>
          <w:szCs w:val="22"/>
          <w:u w:val="single"/>
          <w:lang w:val="fr-FR"/>
        </w:rPr>
      </w:pPr>
    </w:p>
    <w:p w:rsidR="007F7153" w:rsidRPr="009A64D3" w:rsidRDefault="002D0DD1">
      <w:pPr>
        <w:pStyle w:val="BodyText2"/>
        <w:jc w:val="both"/>
        <w:rPr>
          <w:rFonts w:ascii="Century Gothic" w:hAnsi="Century Gothic"/>
          <w:i/>
          <w:sz w:val="22"/>
          <w:szCs w:val="22"/>
          <w:lang w:val="fr-FR"/>
        </w:rPr>
      </w:pPr>
      <w:r w:rsidRPr="009A64D3">
        <w:rPr>
          <w:rFonts w:ascii="Century Gothic" w:hAnsi="Century Gothic"/>
          <w:i/>
          <w:sz w:val="22"/>
          <w:szCs w:val="22"/>
          <w:lang w:val="fr-FR"/>
        </w:rPr>
        <w:t>Concernant les deux dernières années :</w:t>
      </w:r>
    </w:p>
    <w:p w:rsidR="007F7153" w:rsidRPr="009A64D3" w:rsidRDefault="007F7153" w:rsidP="00AD165C">
      <w:pPr>
        <w:pStyle w:val="BodyText2"/>
        <w:jc w:val="left"/>
        <w:rPr>
          <w:rFonts w:ascii="Century Gothic" w:hAnsi="Century Gothic"/>
          <w:sz w:val="22"/>
          <w:szCs w:val="22"/>
          <w:u w:val="single"/>
          <w:lang w:val="fr-FR"/>
        </w:rPr>
      </w:pPr>
    </w:p>
    <w:p w:rsidR="007F7153" w:rsidRPr="009A64D3" w:rsidRDefault="002D0DD1" w:rsidP="00C46E23">
      <w:pPr>
        <w:pStyle w:val="BodyText"/>
        <w:numPr>
          <w:ilvl w:val="0"/>
          <w:numId w:val="2"/>
        </w:numPr>
        <w:tabs>
          <w:tab w:val="clear" w:pos="1080"/>
          <w:tab w:val="num" w:pos="360"/>
          <w:tab w:val="left" w:pos="1500"/>
        </w:tabs>
        <w:ind w:left="360"/>
        <w:rPr>
          <w:rFonts w:ascii="Century Gothic" w:hAnsi="Century Gothic"/>
          <w:sz w:val="22"/>
          <w:szCs w:val="22"/>
          <w:lang w:val="fr-FR"/>
        </w:rPr>
      </w:pPr>
      <w:r w:rsidRPr="009A64D3">
        <w:rPr>
          <w:rFonts w:ascii="Century Gothic" w:hAnsi="Century Gothic"/>
          <w:sz w:val="22"/>
          <w:szCs w:val="22"/>
          <w:lang w:val="fr-FR"/>
        </w:rPr>
        <w:t>Quels sont les principaux problèmes et les priorités d’action en matière de pollution marine dans votre pays?</w:t>
      </w:r>
      <w:r w:rsidR="007F7153" w:rsidRPr="009A64D3">
        <w:rPr>
          <w:rFonts w:ascii="Century Gothic" w:hAnsi="Century Gothic"/>
          <w:sz w:val="22"/>
          <w:szCs w:val="22"/>
          <w:lang w:val="fr-FR"/>
        </w:rPr>
        <w:t xml:space="preserve"> </w:t>
      </w:r>
      <w:r w:rsidRPr="009A64D3">
        <w:rPr>
          <w:rFonts w:ascii="Century Gothic" w:hAnsi="Century Gothic"/>
          <w:sz w:val="22"/>
          <w:szCs w:val="22"/>
          <w:lang w:val="fr-FR"/>
        </w:rPr>
        <w:t>Vous pouvez joindre à votre réponse des extraits pertinents de rapports annuels, de documents de politique générale, etc.</w:t>
      </w:r>
    </w:p>
    <w:p w:rsidR="007F7153" w:rsidRPr="009A64D3" w:rsidRDefault="007F7153" w:rsidP="00C46E23">
      <w:pPr>
        <w:jc w:val="both"/>
        <w:rPr>
          <w:rFonts w:ascii="Century Gothic" w:hAnsi="Century Gothic"/>
          <w:b/>
          <w:sz w:val="22"/>
          <w:szCs w:val="22"/>
          <w:lang w:val="fr-FR"/>
        </w:rPr>
      </w:pPr>
    </w:p>
    <w:p w:rsidR="007F7153" w:rsidRPr="009A64D3" w:rsidRDefault="002D0DD1" w:rsidP="00C46E23">
      <w:pPr>
        <w:numPr>
          <w:ilvl w:val="0"/>
          <w:numId w:val="2"/>
        </w:numPr>
        <w:tabs>
          <w:tab w:val="clear" w:pos="1080"/>
          <w:tab w:val="num" w:pos="360"/>
          <w:tab w:val="left" w:pos="1500"/>
        </w:tabs>
        <w:ind w:left="360"/>
        <w:jc w:val="both"/>
        <w:rPr>
          <w:rFonts w:ascii="Century Gothic" w:hAnsi="Century Gothic"/>
          <w:sz w:val="22"/>
          <w:szCs w:val="22"/>
          <w:lang w:val="fr-FR"/>
        </w:rPr>
      </w:pPr>
      <w:r w:rsidRPr="009A64D3">
        <w:rPr>
          <w:rFonts w:ascii="Century Gothic" w:hAnsi="Century Gothic"/>
          <w:sz w:val="22"/>
          <w:szCs w:val="22"/>
          <w:lang w:val="fr-FR"/>
        </w:rPr>
        <w:t xml:space="preserve">Quelles mesures d’ordre général avez-vous prises pour mettre en œuvre cette </w:t>
      </w:r>
      <w:r w:rsidR="006C4AE3" w:rsidRPr="009A64D3">
        <w:rPr>
          <w:rFonts w:ascii="Century Gothic" w:hAnsi="Century Gothic"/>
          <w:sz w:val="22"/>
          <w:szCs w:val="22"/>
          <w:lang w:val="fr-FR"/>
        </w:rPr>
        <w:t>Convention</w:t>
      </w:r>
      <w:r w:rsidRPr="009A64D3">
        <w:rPr>
          <w:rFonts w:ascii="Century Gothic" w:hAnsi="Century Gothic"/>
          <w:sz w:val="22"/>
          <w:szCs w:val="22"/>
          <w:lang w:val="fr-FR"/>
        </w:rPr>
        <w:t xml:space="preserve"> et les protocoles y relatifs ?</w:t>
      </w:r>
    </w:p>
    <w:p w:rsidR="007F7153" w:rsidRPr="009A64D3" w:rsidRDefault="007F7153" w:rsidP="00C46E23">
      <w:pPr>
        <w:jc w:val="both"/>
        <w:rPr>
          <w:rFonts w:ascii="Century Gothic" w:hAnsi="Century Gothic"/>
          <w:sz w:val="22"/>
          <w:szCs w:val="22"/>
          <w:lang w:val="fr-FR"/>
        </w:rPr>
      </w:pPr>
    </w:p>
    <w:p w:rsidR="007F7153" w:rsidRPr="009A64D3" w:rsidRDefault="002D0DD1" w:rsidP="00C46E23">
      <w:pPr>
        <w:numPr>
          <w:ilvl w:val="0"/>
          <w:numId w:val="2"/>
        </w:numPr>
        <w:tabs>
          <w:tab w:val="clear" w:pos="1080"/>
          <w:tab w:val="num" w:pos="360"/>
          <w:tab w:val="left" w:pos="1500"/>
        </w:tabs>
        <w:ind w:left="360"/>
        <w:jc w:val="both"/>
        <w:rPr>
          <w:rFonts w:ascii="Century Gothic" w:hAnsi="Century Gothic"/>
          <w:sz w:val="22"/>
          <w:szCs w:val="22"/>
          <w:lang w:val="fr-FR"/>
        </w:rPr>
      </w:pPr>
      <w:r w:rsidRPr="009A64D3">
        <w:rPr>
          <w:rFonts w:ascii="Century Gothic" w:hAnsi="Century Gothic"/>
          <w:sz w:val="22"/>
          <w:szCs w:val="22"/>
          <w:lang w:val="fr-FR"/>
        </w:rPr>
        <w:t>Quelles mesures législatives portant sur la pollution marine en dehors des eaux territoriales ont été prises ou amendées (fournir tous détails nécessaires notamment toute définition de la « pollution ») ? Quelles sont les autorités compétentes en la matière ?</w:t>
      </w:r>
    </w:p>
    <w:p w:rsidR="007F7153" w:rsidRPr="009A64D3" w:rsidRDefault="007F7153" w:rsidP="00C46E23">
      <w:pPr>
        <w:jc w:val="both"/>
        <w:rPr>
          <w:rFonts w:ascii="Century Gothic" w:hAnsi="Century Gothic"/>
          <w:sz w:val="22"/>
          <w:szCs w:val="22"/>
          <w:lang w:val="fr-FR"/>
        </w:rPr>
      </w:pPr>
    </w:p>
    <w:p w:rsidR="007F7153" w:rsidRPr="009A64D3" w:rsidRDefault="00357DFD" w:rsidP="00C46E23">
      <w:pPr>
        <w:numPr>
          <w:ilvl w:val="0"/>
          <w:numId w:val="2"/>
        </w:numPr>
        <w:tabs>
          <w:tab w:val="clear" w:pos="1080"/>
          <w:tab w:val="num" w:pos="360"/>
          <w:tab w:val="left" w:pos="1500"/>
        </w:tabs>
        <w:ind w:left="360"/>
        <w:jc w:val="both"/>
        <w:rPr>
          <w:rFonts w:ascii="Century Gothic" w:hAnsi="Century Gothic"/>
          <w:sz w:val="22"/>
          <w:szCs w:val="22"/>
          <w:lang w:val="fr-FR"/>
        </w:rPr>
      </w:pPr>
      <w:r w:rsidRPr="009A64D3">
        <w:rPr>
          <w:rFonts w:ascii="Century Gothic" w:hAnsi="Century Gothic"/>
          <w:sz w:val="22"/>
          <w:szCs w:val="22"/>
          <w:lang w:val="fr-FR"/>
        </w:rPr>
        <w:t>Quels sont les types et les volumes annuels estimés de pollution marine attribuables aux sources suivantes dans la zone d’application de la Convention, combien de permis ont-ils été délivrés et quelles autres mesures ont éventuellement été prises pour prévenir, réduire et contrôler ces pollutions :</w:t>
      </w:r>
    </w:p>
    <w:p w:rsidR="007F7153" w:rsidRPr="009A64D3" w:rsidRDefault="007F7153">
      <w:pPr>
        <w:jc w:val="both"/>
        <w:rPr>
          <w:rFonts w:ascii="Century Gothic" w:hAnsi="Century Gothic"/>
          <w:sz w:val="22"/>
          <w:szCs w:val="22"/>
          <w:lang w:val="fr-FR"/>
        </w:rPr>
      </w:pP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navires (</w:t>
      </w:r>
      <w:r w:rsidRPr="009A64D3">
        <w:rPr>
          <w:rFonts w:ascii="Century Gothic" w:hAnsi="Century Gothic"/>
          <w:b/>
          <w:sz w:val="22"/>
          <w:szCs w:val="22"/>
          <w:lang w:val="fr-FR"/>
        </w:rPr>
        <w:t>art. 6</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sources telluriques (</w:t>
      </w:r>
      <w:r w:rsidRPr="009A64D3">
        <w:rPr>
          <w:rFonts w:ascii="Century Gothic" w:hAnsi="Century Gothic"/>
          <w:b/>
          <w:sz w:val="22"/>
          <w:szCs w:val="22"/>
          <w:lang w:val="fr-FR"/>
        </w:rPr>
        <w:t>art. 7</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extraction minière et érosion du littoral (travaux de remblaiement et de dragage) (</w:t>
      </w:r>
      <w:r w:rsidRPr="009A64D3">
        <w:rPr>
          <w:rFonts w:ascii="Century Gothic" w:hAnsi="Century Gothic"/>
          <w:b/>
          <w:sz w:val="22"/>
          <w:szCs w:val="22"/>
          <w:lang w:val="fr-FR"/>
        </w:rPr>
        <w:t>art. 14</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exploitation des fonds marins et de leur sous-sol (</w:t>
      </w:r>
      <w:r w:rsidRPr="009A64D3">
        <w:rPr>
          <w:rFonts w:ascii="Century Gothic" w:hAnsi="Century Gothic"/>
          <w:b/>
          <w:sz w:val="22"/>
          <w:szCs w:val="22"/>
          <w:lang w:val="fr-FR"/>
        </w:rPr>
        <w:t>art. 8</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rejets dans l’atmosphère (</w:t>
      </w:r>
      <w:r w:rsidRPr="009A64D3">
        <w:rPr>
          <w:rFonts w:ascii="Century Gothic" w:hAnsi="Century Gothic"/>
          <w:b/>
          <w:sz w:val="22"/>
          <w:szCs w:val="22"/>
          <w:lang w:val="fr-FR"/>
        </w:rPr>
        <w:t>art. 9</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 xml:space="preserve">immersion et évacuation de déchets, notamment de déchets et matières radioactifs, à partir de </w:t>
      </w:r>
      <w:r w:rsidR="001A5B6A" w:rsidRPr="009A64D3">
        <w:rPr>
          <w:rFonts w:ascii="Century Gothic" w:hAnsi="Century Gothic"/>
          <w:sz w:val="22"/>
          <w:szCs w:val="22"/>
          <w:lang w:val="fr-FR"/>
        </w:rPr>
        <w:t>n</w:t>
      </w:r>
      <w:r w:rsidRPr="009A64D3">
        <w:rPr>
          <w:rFonts w:ascii="Century Gothic" w:hAnsi="Century Gothic"/>
          <w:sz w:val="22"/>
          <w:szCs w:val="22"/>
          <w:lang w:val="fr-FR"/>
        </w:rPr>
        <w:t>avires, d’aéronefs ou de structures artificielles (</w:t>
      </w:r>
      <w:r w:rsidRPr="009A64D3">
        <w:rPr>
          <w:rFonts w:ascii="Century Gothic" w:hAnsi="Century Gothic"/>
          <w:b/>
          <w:sz w:val="22"/>
          <w:szCs w:val="22"/>
          <w:lang w:val="fr-FR"/>
        </w:rPr>
        <w:t>art. 10</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stockage de déchets toxiques et dangereux, notamment de déchets et matières radioactifs (</w:t>
      </w:r>
      <w:r w:rsidRPr="009A64D3">
        <w:rPr>
          <w:rFonts w:ascii="Century Gothic" w:hAnsi="Century Gothic"/>
          <w:b/>
          <w:sz w:val="22"/>
          <w:szCs w:val="22"/>
          <w:lang w:val="fr-FR"/>
        </w:rPr>
        <w:t>art. 11</w:t>
      </w:r>
      <w:r w:rsidRPr="009A64D3">
        <w:rPr>
          <w:rFonts w:ascii="Century Gothic" w:hAnsi="Century Gothic"/>
          <w:sz w:val="22"/>
          <w:szCs w:val="22"/>
          <w:lang w:val="fr-FR"/>
        </w:rPr>
        <w:t>)</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expérimentation d’engins nucléaires (</w:t>
      </w:r>
      <w:r w:rsidRPr="009A64D3">
        <w:rPr>
          <w:rFonts w:ascii="Century Gothic" w:hAnsi="Century Gothic"/>
          <w:b/>
          <w:bCs/>
          <w:sz w:val="22"/>
          <w:szCs w:val="22"/>
          <w:lang w:val="fr-FR"/>
        </w:rPr>
        <w:t>art. 12</w:t>
      </w:r>
      <w:r w:rsidRPr="009A64D3">
        <w:rPr>
          <w:rFonts w:ascii="Century Gothic" w:hAnsi="Century Gothic"/>
          <w:sz w:val="22"/>
          <w:szCs w:val="22"/>
          <w:lang w:val="fr-FR"/>
        </w:rPr>
        <w:t>).</w:t>
      </w:r>
    </w:p>
    <w:p w:rsidR="007F7153" w:rsidRPr="009A64D3" w:rsidRDefault="007F7153">
      <w:pPr>
        <w:jc w:val="both"/>
        <w:rPr>
          <w:rFonts w:ascii="Century Gothic" w:hAnsi="Century Gothic"/>
          <w:sz w:val="22"/>
          <w:szCs w:val="22"/>
          <w:lang w:val="fr-FR"/>
        </w:rPr>
      </w:pPr>
    </w:p>
    <w:p w:rsidR="007F7153" w:rsidRPr="009A64D3" w:rsidRDefault="00357DFD" w:rsidP="00C46E23">
      <w:pPr>
        <w:numPr>
          <w:ilvl w:val="0"/>
          <w:numId w:val="2"/>
        </w:numPr>
        <w:tabs>
          <w:tab w:val="clear" w:pos="1080"/>
          <w:tab w:val="num" w:pos="360"/>
          <w:tab w:val="left" w:pos="1500"/>
        </w:tabs>
        <w:ind w:left="360"/>
        <w:jc w:val="both"/>
        <w:rPr>
          <w:rFonts w:ascii="Century Gothic" w:hAnsi="Century Gothic"/>
          <w:sz w:val="22"/>
          <w:szCs w:val="22"/>
          <w:lang w:val="fr-FR"/>
        </w:rPr>
      </w:pPr>
      <w:r w:rsidRPr="009A64D3">
        <w:rPr>
          <w:rFonts w:ascii="Century Gothic" w:hAnsi="Century Gothic"/>
          <w:sz w:val="22"/>
          <w:szCs w:val="22"/>
          <w:lang w:val="fr-FR"/>
        </w:rPr>
        <w:t>Avez-vous interdit le stockage et l’évacuation de déchets radioactifs dans la zone d’application de la Convention et sur le plateau continental situé au-delà de cette zone ?</w:t>
      </w:r>
      <w:r w:rsidR="007F7153" w:rsidRPr="009A64D3">
        <w:rPr>
          <w:rFonts w:ascii="Century Gothic" w:hAnsi="Century Gothic"/>
          <w:sz w:val="22"/>
          <w:szCs w:val="22"/>
          <w:lang w:val="fr-FR"/>
        </w:rPr>
        <w:t xml:space="preserve"> </w:t>
      </w:r>
      <w:r w:rsidRPr="009A64D3">
        <w:rPr>
          <w:rFonts w:ascii="Century Gothic" w:hAnsi="Century Gothic"/>
          <w:sz w:val="22"/>
          <w:szCs w:val="22"/>
          <w:lang w:val="fr-FR"/>
        </w:rPr>
        <w:t>Dans l’affirmative, quelles dispositions législatives ont été prises et quelles sont les sanctions (</w:t>
      </w:r>
      <w:r w:rsidRPr="009A64D3">
        <w:rPr>
          <w:rFonts w:ascii="Century Gothic" w:hAnsi="Century Gothic"/>
          <w:b/>
          <w:sz w:val="22"/>
          <w:szCs w:val="22"/>
          <w:lang w:val="fr-FR"/>
        </w:rPr>
        <w:t>art. 10</w:t>
      </w:r>
      <w:r w:rsidRPr="009A64D3">
        <w:rPr>
          <w:rFonts w:ascii="Century Gothic" w:hAnsi="Century Gothic"/>
          <w:sz w:val="22"/>
          <w:szCs w:val="22"/>
          <w:lang w:val="fr-FR"/>
        </w:rPr>
        <w:t>) ?</w:t>
      </w:r>
    </w:p>
    <w:p w:rsidR="007F7153" w:rsidRPr="009A64D3" w:rsidRDefault="007F7153" w:rsidP="00C46E23">
      <w:pPr>
        <w:jc w:val="both"/>
        <w:rPr>
          <w:rFonts w:ascii="Century Gothic" w:hAnsi="Century Gothic"/>
          <w:sz w:val="22"/>
          <w:szCs w:val="22"/>
          <w:lang w:val="fr-FR"/>
        </w:rPr>
      </w:pPr>
    </w:p>
    <w:p w:rsidR="007F7153" w:rsidRPr="009A64D3" w:rsidRDefault="00357DFD" w:rsidP="00C46E23">
      <w:pPr>
        <w:numPr>
          <w:ilvl w:val="0"/>
          <w:numId w:val="2"/>
        </w:numPr>
        <w:tabs>
          <w:tab w:val="clear" w:pos="1080"/>
          <w:tab w:val="num" w:pos="360"/>
          <w:tab w:val="left" w:pos="1500"/>
        </w:tabs>
        <w:ind w:left="360"/>
        <w:jc w:val="both"/>
        <w:rPr>
          <w:rFonts w:ascii="Century Gothic" w:hAnsi="Century Gothic"/>
          <w:sz w:val="22"/>
          <w:szCs w:val="22"/>
          <w:lang w:val="fr-FR"/>
        </w:rPr>
      </w:pPr>
      <w:r w:rsidRPr="009A64D3">
        <w:rPr>
          <w:rFonts w:ascii="Century Gothic" w:hAnsi="Century Gothic"/>
          <w:sz w:val="22"/>
          <w:szCs w:val="22"/>
          <w:lang w:val="fr-FR"/>
        </w:rPr>
        <w:t>Quelles sont les directives techniques et la législation en vigueur dans votre pays ou territoire en ce qui concerne l’EIE des activités de développement susceptibles d’avoir un impact sur le milieu marin (</w:t>
      </w:r>
      <w:r w:rsidRPr="009A64D3">
        <w:rPr>
          <w:rFonts w:ascii="Century Gothic" w:hAnsi="Century Gothic"/>
          <w:b/>
          <w:bCs/>
          <w:sz w:val="22"/>
          <w:szCs w:val="22"/>
          <w:lang w:val="fr-FR"/>
        </w:rPr>
        <w:t>art.</w:t>
      </w:r>
      <w:r w:rsidR="00F97043" w:rsidRPr="009A64D3">
        <w:rPr>
          <w:rFonts w:ascii="Century Gothic" w:hAnsi="Century Gothic"/>
          <w:sz w:val="22"/>
          <w:szCs w:val="22"/>
          <w:lang w:val="fr-FR"/>
        </w:rPr>
        <w:t> </w:t>
      </w:r>
      <w:r w:rsidRPr="009A64D3">
        <w:rPr>
          <w:rFonts w:ascii="Century Gothic" w:hAnsi="Century Gothic"/>
          <w:b/>
          <w:bCs/>
          <w:sz w:val="22"/>
          <w:szCs w:val="22"/>
          <w:lang w:val="fr-FR"/>
        </w:rPr>
        <w:t>16</w:t>
      </w:r>
      <w:r w:rsidRPr="009A64D3">
        <w:rPr>
          <w:rFonts w:ascii="Century Gothic" w:hAnsi="Century Gothic"/>
          <w:sz w:val="22"/>
          <w:szCs w:val="22"/>
          <w:lang w:val="fr-FR"/>
        </w:rPr>
        <w:t>)</w:t>
      </w:r>
      <w:r w:rsidR="00F97043" w:rsidRPr="009A64D3">
        <w:rPr>
          <w:rFonts w:ascii="Century Gothic" w:hAnsi="Century Gothic"/>
          <w:sz w:val="22"/>
          <w:szCs w:val="22"/>
          <w:lang w:val="fr-FR"/>
        </w:rPr>
        <w:t> ?</w:t>
      </w:r>
      <w:r w:rsidR="007F7153" w:rsidRPr="009A64D3">
        <w:rPr>
          <w:rFonts w:ascii="Century Gothic" w:hAnsi="Century Gothic"/>
          <w:sz w:val="22"/>
          <w:szCs w:val="22"/>
          <w:lang w:val="fr-FR"/>
        </w:rPr>
        <w:t xml:space="preserve"> </w:t>
      </w:r>
      <w:r w:rsidRPr="009A64D3">
        <w:rPr>
          <w:rFonts w:ascii="Century Gothic" w:hAnsi="Century Gothic"/>
          <w:sz w:val="22"/>
          <w:szCs w:val="22"/>
          <w:lang w:val="fr-FR"/>
        </w:rPr>
        <w:t>Combien d’EIE ont été effectuées, quelles mesures ont été prises pour prévenir la pollution et dans quelle mesure le public a-t-il participé ?</w:t>
      </w:r>
    </w:p>
    <w:p w:rsidR="007F7153" w:rsidRPr="009A64D3" w:rsidRDefault="007F7153">
      <w:pPr>
        <w:jc w:val="both"/>
        <w:rPr>
          <w:rFonts w:ascii="Century Gothic" w:hAnsi="Century Gothic"/>
          <w:sz w:val="22"/>
          <w:szCs w:val="22"/>
          <w:lang w:val="fr-FR"/>
        </w:rPr>
      </w:pPr>
    </w:p>
    <w:p w:rsidR="007F7153" w:rsidRPr="009A64D3" w:rsidRDefault="00357DFD" w:rsidP="00C46E23">
      <w:pPr>
        <w:numPr>
          <w:ilvl w:val="0"/>
          <w:numId w:val="2"/>
        </w:numPr>
        <w:tabs>
          <w:tab w:val="clear" w:pos="1080"/>
        </w:tabs>
        <w:ind w:left="426"/>
        <w:jc w:val="both"/>
        <w:rPr>
          <w:rFonts w:ascii="Century Gothic" w:hAnsi="Century Gothic"/>
          <w:sz w:val="22"/>
          <w:szCs w:val="22"/>
          <w:lang w:val="fr-FR"/>
        </w:rPr>
      </w:pPr>
      <w:r w:rsidRPr="009A64D3">
        <w:rPr>
          <w:rFonts w:ascii="Century Gothic" w:hAnsi="Century Gothic"/>
          <w:sz w:val="22"/>
          <w:szCs w:val="22"/>
          <w:lang w:val="fr-FR"/>
        </w:rPr>
        <w:t xml:space="preserve">Quelles mesures de coopération et de coordination ont été prises avec d’autres Parties contractantes en vue de mettre en </w:t>
      </w:r>
      <w:r w:rsidR="006C4AE3" w:rsidRPr="009A64D3">
        <w:rPr>
          <w:rFonts w:ascii="Century Gothic" w:hAnsi="Century Gothic"/>
          <w:sz w:val="22"/>
          <w:szCs w:val="22"/>
          <w:lang w:val="fr-FR"/>
        </w:rPr>
        <w:t>œuvre</w:t>
      </w:r>
      <w:r w:rsidRPr="009A64D3">
        <w:rPr>
          <w:rFonts w:ascii="Century Gothic" w:hAnsi="Century Gothic"/>
          <w:sz w:val="22"/>
          <w:szCs w:val="22"/>
          <w:lang w:val="fr-FR"/>
        </w:rPr>
        <w:t xml:space="preserve"> la Convention et ses Protocoles (accords pour la protection, la mise en valeur ou la gestion du milieu marin ; échanges d’information ; travaux de recherche et de surveillance ; assistance technique ; protection contre la menace et les effets des </w:t>
      </w:r>
      <w:r w:rsidR="00E2742E" w:rsidRPr="009A64D3">
        <w:rPr>
          <w:rFonts w:ascii="Century Gothic" w:hAnsi="Century Gothic"/>
          <w:sz w:val="22"/>
          <w:szCs w:val="22"/>
          <w:lang w:val="fr-FR"/>
        </w:rPr>
        <w:t>« </w:t>
      </w:r>
      <w:r w:rsidRPr="009A64D3">
        <w:rPr>
          <w:rFonts w:ascii="Century Gothic" w:hAnsi="Century Gothic"/>
          <w:sz w:val="22"/>
          <w:szCs w:val="22"/>
          <w:lang w:val="fr-FR"/>
        </w:rPr>
        <w:t>incidents générateurs de pollution</w:t>
      </w:r>
      <w:r w:rsidR="00E2742E" w:rsidRPr="009A64D3">
        <w:rPr>
          <w:rFonts w:ascii="Century Gothic" w:hAnsi="Century Gothic"/>
          <w:sz w:val="22"/>
          <w:szCs w:val="22"/>
          <w:lang w:val="fr-FR"/>
        </w:rPr>
        <w:t> »</w:t>
      </w:r>
      <w:r w:rsidRPr="009A64D3">
        <w:rPr>
          <w:rFonts w:ascii="Century Gothic" w:hAnsi="Century Gothic"/>
          <w:sz w:val="22"/>
          <w:szCs w:val="22"/>
          <w:lang w:val="fr-FR"/>
        </w:rPr>
        <w:t>, etc.) (</w:t>
      </w:r>
      <w:r w:rsidRPr="009A64D3">
        <w:rPr>
          <w:rFonts w:ascii="Century Gothic" w:hAnsi="Century Gothic"/>
          <w:b/>
          <w:sz w:val="22"/>
          <w:szCs w:val="22"/>
          <w:lang w:val="fr-FR"/>
        </w:rPr>
        <w:t>art. 4, 17 et 18</w:t>
      </w:r>
      <w:r w:rsidRPr="009A64D3">
        <w:rPr>
          <w:rFonts w:ascii="Century Gothic" w:hAnsi="Century Gothic"/>
          <w:sz w:val="22"/>
          <w:szCs w:val="22"/>
          <w:lang w:val="fr-FR"/>
        </w:rPr>
        <w:t>) ?</w:t>
      </w:r>
    </w:p>
    <w:p w:rsidR="007F7153" w:rsidRPr="009A64D3" w:rsidRDefault="007F7153">
      <w:pPr>
        <w:jc w:val="both"/>
        <w:rPr>
          <w:rFonts w:ascii="Century Gothic" w:hAnsi="Century Gothic"/>
          <w:sz w:val="22"/>
          <w:szCs w:val="22"/>
          <w:lang w:val="fr-FR"/>
        </w:rPr>
      </w:pPr>
    </w:p>
    <w:p w:rsidR="007F7153" w:rsidRPr="009A64D3" w:rsidRDefault="00357DFD" w:rsidP="00C46E23">
      <w:pPr>
        <w:numPr>
          <w:ilvl w:val="0"/>
          <w:numId w:val="2"/>
        </w:numPr>
        <w:tabs>
          <w:tab w:val="clear" w:pos="1080"/>
          <w:tab w:val="num" w:pos="426"/>
          <w:tab w:val="left" w:pos="1500"/>
        </w:tabs>
        <w:ind w:left="426"/>
        <w:jc w:val="both"/>
        <w:rPr>
          <w:rFonts w:ascii="Century Gothic" w:hAnsi="Century Gothic"/>
          <w:sz w:val="22"/>
          <w:szCs w:val="22"/>
          <w:lang w:val="fr-FR"/>
        </w:rPr>
      </w:pPr>
      <w:r w:rsidRPr="009A64D3">
        <w:rPr>
          <w:rFonts w:ascii="Century Gothic" w:hAnsi="Century Gothic"/>
          <w:sz w:val="22"/>
          <w:szCs w:val="22"/>
          <w:lang w:val="fr-FR"/>
        </w:rPr>
        <w:t>Combien d’incidents de pollution se sont produits et à quels textes législatifs, règlements, institutions et procédures opérationnelles a-t-on eu recours dans chaque cas ?</w:t>
      </w:r>
      <w:r w:rsidR="007F7153" w:rsidRPr="009A64D3">
        <w:rPr>
          <w:rFonts w:ascii="Century Gothic" w:hAnsi="Century Gothic"/>
          <w:sz w:val="22"/>
          <w:szCs w:val="22"/>
          <w:lang w:val="fr-FR"/>
        </w:rPr>
        <w:t xml:space="preserve"> </w:t>
      </w:r>
      <w:r w:rsidRPr="009A64D3">
        <w:rPr>
          <w:rFonts w:ascii="Century Gothic" w:hAnsi="Century Gothic"/>
          <w:sz w:val="22"/>
          <w:szCs w:val="22"/>
          <w:lang w:val="fr-FR"/>
        </w:rPr>
        <w:t>(</w:t>
      </w:r>
      <w:r w:rsidRPr="009A64D3">
        <w:rPr>
          <w:rFonts w:ascii="Century Gothic" w:hAnsi="Century Gothic"/>
          <w:b/>
          <w:sz w:val="22"/>
          <w:szCs w:val="22"/>
          <w:lang w:val="fr-FR"/>
        </w:rPr>
        <w:t>Protocole de coopération dans les interventions d’urgence contre les incidents de pollution</w:t>
      </w:r>
      <w:r w:rsidRPr="009A64D3">
        <w:rPr>
          <w:rFonts w:ascii="Century Gothic" w:hAnsi="Century Gothic"/>
          <w:sz w:val="22"/>
          <w:szCs w:val="22"/>
          <w:lang w:val="fr-FR"/>
        </w:rPr>
        <w:t>)</w:t>
      </w:r>
    </w:p>
    <w:p w:rsidR="007F7153" w:rsidRPr="009A64D3" w:rsidRDefault="007F7153" w:rsidP="00C46E23">
      <w:pPr>
        <w:jc w:val="both"/>
        <w:rPr>
          <w:rFonts w:ascii="Century Gothic" w:hAnsi="Century Gothic"/>
          <w:sz w:val="22"/>
          <w:szCs w:val="22"/>
          <w:lang w:val="fr-FR"/>
        </w:rPr>
      </w:pPr>
    </w:p>
    <w:p w:rsidR="007F7153" w:rsidRPr="009A64D3" w:rsidRDefault="00357DFD" w:rsidP="00C46E23">
      <w:pPr>
        <w:numPr>
          <w:ilvl w:val="0"/>
          <w:numId w:val="2"/>
        </w:numPr>
        <w:tabs>
          <w:tab w:val="clear" w:pos="1080"/>
          <w:tab w:val="num" w:pos="426"/>
          <w:tab w:val="left" w:pos="1500"/>
        </w:tabs>
        <w:ind w:left="426"/>
        <w:jc w:val="both"/>
        <w:rPr>
          <w:rFonts w:ascii="Century Gothic" w:hAnsi="Century Gothic"/>
          <w:sz w:val="22"/>
          <w:szCs w:val="22"/>
          <w:lang w:val="fr-FR"/>
        </w:rPr>
      </w:pPr>
      <w:r w:rsidRPr="009A64D3">
        <w:rPr>
          <w:rFonts w:ascii="Century Gothic" w:hAnsi="Century Gothic"/>
          <w:sz w:val="22"/>
          <w:szCs w:val="22"/>
          <w:lang w:val="fr-FR"/>
        </w:rPr>
        <w:t>En cas d’incidents de pollution, quels rapports doivent être préparés par</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Les agents du gouvernement ;</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Les capitaines de navires battant votre pavillon ; et</w:t>
      </w:r>
      <w:r w:rsidR="007F7153" w:rsidRPr="009A64D3">
        <w:rPr>
          <w:rFonts w:ascii="Century Gothic" w:hAnsi="Century Gothic"/>
          <w:sz w:val="22"/>
          <w:szCs w:val="22"/>
          <w:lang w:val="fr-FR"/>
        </w:rPr>
        <w:t xml:space="preserve"> </w:t>
      </w:r>
    </w:p>
    <w:p w:rsidR="007F7153" w:rsidRPr="009A64D3" w:rsidRDefault="00357DFD" w:rsidP="00C46E23">
      <w:pPr>
        <w:numPr>
          <w:ilvl w:val="1"/>
          <w:numId w:val="2"/>
        </w:numPr>
        <w:tabs>
          <w:tab w:val="clear" w:pos="1800"/>
        </w:tabs>
        <w:ind w:left="851"/>
        <w:jc w:val="both"/>
        <w:rPr>
          <w:rFonts w:ascii="Century Gothic" w:hAnsi="Century Gothic"/>
          <w:sz w:val="22"/>
          <w:szCs w:val="22"/>
          <w:lang w:val="fr-FR"/>
        </w:rPr>
      </w:pPr>
      <w:r w:rsidRPr="009A64D3">
        <w:rPr>
          <w:rFonts w:ascii="Century Gothic" w:hAnsi="Century Gothic"/>
          <w:sz w:val="22"/>
          <w:szCs w:val="22"/>
          <w:lang w:val="fr-FR"/>
        </w:rPr>
        <w:t>Tous les capitaines de navires et pilotes d’aéronefs aux abords de votre littoral (</w:t>
      </w:r>
      <w:r w:rsidRPr="009A64D3">
        <w:rPr>
          <w:rFonts w:ascii="Century Gothic" w:hAnsi="Century Gothic"/>
          <w:b/>
          <w:sz w:val="22"/>
          <w:szCs w:val="22"/>
          <w:lang w:val="fr-FR"/>
        </w:rPr>
        <w:t>art. 5</w:t>
      </w:r>
      <w:r w:rsidRPr="009A64D3">
        <w:rPr>
          <w:rFonts w:ascii="Century Gothic" w:hAnsi="Century Gothic"/>
          <w:sz w:val="22"/>
          <w:szCs w:val="22"/>
          <w:lang w:val="fr-FR"/>
        </w:rPr>
        <w:t>).</w:t>
      </w:r>
    </w:p>
    <w:p w:rsidR="007F7153" w:rsidRPr="009A64D3" w:rsidRDefault="007F7153">
      <w:pPr>
        <w:jc w:val="both"/>
        <w:rPr>
          <w:rFonts w:ascii="Century Gothic" w:hAnsi="Century Gothic"/>
          <w:b/>
          <w:sz w:val="22"/>
          <w:szCs w:val="22"/>
          <w:lang w:val="fr-FR"/>
        </w:rPr>
      </w:pPr>
    </w:p>
    <w:p w:rsidR="007F7153" w:rsidRPr="009A64D3" w:rsidRDefault="00357DFD" w:rsidP="00C46E23">
      <w:pPr>
        <w:pStyle w:val="BodyText2"/>
        <w:tabs>
          <w:tab w:val="left" w:pos="1500"/>
        </w:tabs>
        <w:jc w:val="both"/>
        <w:rPr>
          <w:rFonts w:ascii="Century Gothic" w:hAnsi="Century Gothic"/>
          <w:b w:val="0"/>
          <w:sz w:val="20"/>
          <w:lang w:val="fr-FR"/>
        </w:rPr>
      </w:pPr>
      <w:r w:rsidRPr="009A64D3">
        <w:rPr>
          <w:rFonts w:ascii="Century Gothic" w:hAnsi="Century Gothic"/>
          <w:b w:val="0"/>
          <w:sz w:val="20"/>
          <w:lang w:val="fr-FR"/>
        </w:rPr>
        <w:t>Approuvé à l’occasion de la quatrième conférence ordinaire des Parties contractantes aux conventions d’Apia et de Nouméa en 1998 (paragraphe 43 du Rapport).</w:t>
      </w:r>
      <w:r w:rsidR="007F7153" w:rsidRPr="009A64D3">
        <w:rPr>
          <w:rFonts w:ascii="Century Gothic" w:hAnsi="Century Gothic"/>
          <w:b w:val="0"/>
          <w:sz w:val="20"/>
          <w:lang w:val="fr-FR"/>
        </w:rPr>
        <w:t xml:space="preserve"> </w:t>
      </w:r>
      <w:r w:rsidRPr="009A64D3">
        <w:rPr>
          <w:rFonts w:ascii="Century Gothic" w:hAnsi="Century Gothic"/>
          <w:b w:val="0"/>
          <w:sz w:val="20"/>
          <w:lang w:val="fr-FR"/>
        </w:rPr>
        <w:t>Les rapports nationaux doivent être soumis tous les deux ans et remis au PROE au plus tard trois mois avant la Conférence ordinaire des Parties.</w:t>
      </w:r>
    </w:p>
    <w:sectPr w:rsidR="007F7153" w:rsidRPr="009A64D3" w:rsidSect="009A64D3">
      <w:type w:val="continuous"/>
      <w:pgSz w:w="11907" w:h="16840"/>
      <w:pgMar w:top="1135"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41F6C"/>
    <w:multiLevelType w:val="hybridMultilevel"/>
    <w:tmpl w:val="6A7A6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B0217"/>
    <w:multiLevelType w:val="hybridMultilevel"/>
    <w:tmpl w:val="9F5C3DE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3"/>
    <w:rsid w:val="000475EA"/>
    <w:rsid w:val="001A5B6A"/>
    <w:rsid w:val="00210312"/>
    <w:rsid w:val="00281508"/>
    <w:rsid w:val="002D0DD1"/>
    <w:rsid w:val="00357DFD"/>
    <w:rsid w:val="0055672E"/>
    <w:rsid w:val="005C5D8D"/>
    <w:rsid w:val="006C4AE3"/>
    <w:rsid w:val="00707C89"/>
    <w:rsid w:val="007F7153"/>
    <w:rsid w:val="008A414C"/>
    <w:rsid w:val="009A64D3"/>
    <w:rsid w:val="00AD165C"/>
    <w:rsid w:val="00B966D4"/>
    <w:rsid w:val="00C128AB"/>
    <w:rsid w:val="00C46E23"/>
    <w:rsid w:val="00D20D92"/>
    <w:rsid w:val="00E2742E"/>
    <w:rsid w:val="00F1005E"/>
    <w:rsid w:val="00F9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D4"/>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B966D4"/>
    <w:pPr>
      <w:overflowPunct w:val="0"/>
      <w:autoSpaceDE w:val="0"/>
      <w:autoSpaceDN w:val="0"/>
      <w:adjustRightInd w:val="0"/>
      <w:jc w:val="center"/>
      <w:textAlignment w:val="baseline"/>
    </w:pPr>
    <w:rPr>
      <w:b/>
      <w:szCs w:val="20"/>
      <w:lang w:val="en-US"/>
    </w:rPr>
  </w:style>
  <w:style w:type="paragraph" w:styleId="BodyText">
    <w:name w:val="Body Text"/>
    <w:basedOn w:val="Normal"/>
    <w:semiHidden/>
    <w:rsid w:val="00B966D4"/>
    <w:pPr>
      <w:overflowPunct w:val="0"/>
      <w:autoSpaceDE w:val="0"/>
      <w:autoSpaceDN w:val="0"/>
      <w:adjustRightInd w:val="0"/>
      <w:jc w:val="both"/>
      <w:textAlignment w:val="baseline"/>
    </w:pPr>
    <w:rPr>
      <w:rFonts w:ascii="CG Times (W1)" w:hAnsi="CG Times (W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D4"/>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B966D4"/>
    <w:pPr>
      <w:overflowPunct w:val="0"/>
      <w:autoSpaceDE w:val="0"/>
      <w:autoSpaceDN w:val="0"/>
      <w:adjustRightInd w:val="0"/>
      <w:jc w:val="center"/>
      <w:textAlignment w:val="baseline"/>
    </w:pPr>
    <w:rPr>
      <w:b/>
      <w:szCs w:val="20"/>
      <w:lang w:val="en-US"/>
    </w:rPr>
  </w:style>
  <w:style w:type="paragraph" w:styleId="BodyText">
    <w:name w:val="Body Text"/>
    <w:basedOn w:val="Normal"/>
    <w:semiHidden/>
    <w:rsid w:val="00B966D4"/>
    <w:pPr>
      <w:overflowPunct w:val="0"/>
      <w:autoSpaceDE w:val="0"/>
      <w:autoSpaceDN w:val="0"/>
      <w:adjustRightInd w:val="0"/>
      <w:jc w:val="both"/>
      <w:textAlignment w:val="baseline"/>
    </w:pPr>
    <w:rPr>
      <w:rFonts w:ascii="CG Times (W1)" w:hAnsi="CG Times (W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DRAFT FORMAT FOR NATIONAL REPORTS BY THE PARTIES TO THE</vt:lpstr>
    </vt:vector>
  </TitlesOfParts>
  <Company>SPREP</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FORMAT FOR NATIONAL REPORTS BY THE PARTIES TO THE</dc:title>
  <dc:creator>clarkp</dc:creator>
  <cp:lastModifiedBy>Registry (SPREP)</cp:lastModifiedBy>
  <cp:revision>2</cp:revision>
  <dcterms:created xsi:type="dcterms:W3CDTF">2017-08-11T03:47:00Z</dcterms:created>
  <dcterms:modified xsi:type="dcterms:W3CDTF">2017-08-11T03:47:00Z</dcterms:modified>
</cp:coreProperties>
</file>