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28" w:rsidRDefault="00756F28" w:rsidP="00756F28">
      <w:pPr>
        <w:pStyle w:val="Heading1"/>
      </w:pPr>
      <w:r>
        <w:t>Preliminary C</w:t>
      </w:r>
      <w:r w:rsidR="00816349">
        <w:t xml:space="preserve">ost </w:t>
      </w:r>
      <w:r>
        <w:t>B</w:t>
      </w:r>
      <w:r w:rsidR="00816349">
        <w:t xml:space="preserve">enefit </w:t>
      </w:r>
      <w:r>
        <w:t>A</w:t>
      </w:r>
      <w:r w:rsidR="00816349">
        <w:t>nalysis Format</w:t>
      </w:r>
      <w:r>
        <w:t xml:space="preserve"> </w:t>
      </w:r>
      <w:r w:rsidR="008078E3">
        <w:t>[t</w:t>
      </w:r>
      <w:r>
        <w:t>emplate</w:t>
      </w:r>
      <w:r w:rsidR="008078E3">
        <w:t>]</w:t>
      </w:r>
    </w:p>
    <w:p w:rsidR="00996DCD" w:rsidRDefault="00996DCD" w:rsidP="00996DCD">
      <w:r>
        <w:t xml:space="preserve">This </w:t>
      </w:r>
      <w:r w:rsidR="006B3AAA">
        <w:t>P</w:t>
      </w:r>
      <w:r>
        <w:t xml:space="preserve">reliminary Cost-Benefit Analysis Format outlines the key information that should be included in a </w:t>
      </w:r>
      <w:r w:rsidR="007B0FDD">
        <w:t>P</w:t>
      </w:r>
      <w:r>
        <w:t xml:space="preserve">reliminary </w:t>
      </w:r>
      <w:r w:rsidR="007B0FDD">
        <w:t>C</w:t>
      </w:r>
      <w:r>
        <w:t>ost-</w:t>
      </w:r>
      <w:r w:rsidR="007B0FDD">
        <w:t>B</w:t>
      </w:r>
      <w:r>
        <w:t xml:space="preserve">enefit </w:t>
      </w:r>
      <w:r w:rsidR="007B0FDD">
        <w:t>A</w:t>
      </w:r>
      <w:r>
        <w:t>nalysis</w:t>
      </w:r>
      <w:r w:rsidR="007B0FDD">
        <w:t xml:space="preserve"> (CBA)</w:t>
      </w:r>
      <w:r>
        <w:t xml:space="preserve"> report. </w:t>
      </w:r>
    </w:p>
    <w:p w:rsidR="0049256C" w:rsidRDefault="00996DCD" w:rsidP="00A66928">
      <w:r>
        <w:t xml:space="preserve">The </w:t>
      </w:r>
      <w:r w:rsidR="0049256C">
        <w:t xml:space="preserve">purposes of the </w:t>
      </w:r>
      <w:r w:rsidR="006B3AAA">
        <w:t>P</w:t>
      </w:r>
      <w:r w:rsidR="0049256C">
        <w:t xml:space="preserve">reliminary </w:t>
      </w:r>
      <w:r w:rsidR="00A13C2D">
        <w:t>CBA</w:t>
      </w:r>
      <w:r w:rsidR="0049256C">
        <w:t xml:space="preserve"> report is to </w:t>
      </w:r>
      <w:r w:rsidR="0023404B">
        <w:t xml:space="preserve">help </w:t>
      </w:r>
      <w:r w:rsidR="0049256C">
        <w:t xml:space="preserve">strengthen the evidence-base of budget and </w:t>
      </w:r>
      <w:r w:rsidR="006B3AAA">
        <w:t>overseas development a</w:t>
      </w:r>
      <w:r w:rsidR="00355E54">
        <w:t>ssistance (ODA)</w:t>
      </w:r>
      <w:r w:rsidR="0049256C">
        <w:t xml:space="preserve"> project proposals</w:t>
      </w:r>
      <w:r w:rsidR="0023404B">
        <w:t xml:space="preserve">. </w:t>
      </w:r>
      <w:r w:rsidR="00A66928">
        <w:t xml:space="preserve">This in turn will </w:t>
      </w:r>
      <w:r w:rsidR="0049256C">
        <w:t xml:space="preserve">provide for more informed and sound </w:t>
      </w:r>
      <w:r w:rsidR="00A66928">
        <w:t xml:space="preserve">Government </w:t>
      </w:r>
      <w:r w:rsidR="0049256C">
        <w:t>decision-making</w:t>
      </w:r>
      <w:r w:rsidR="00A66928">
        <w:t xml:space="preserve"> in Kosrae</w:t>
      </w:r>
      <w:r w:rsidR="00CD0E38">
        <w:t xml:space="preserve"> and </w:t>
      </w:r>
      <w:r w:rsidR="00937DBB">
        <w:t xml:space="preserve">hence </w:t>
      </w:r>
      <w:r w:rsidR="00CD0E38">
        <w:t>more effective projects</w:t>
      </w:r>
      <w:r w:rsidR="00A13C2D">
        <w:t xml:space="preserve">.  </w:t>
      </w:r>
      <w:r w:rsidR="0049256C">
        <w:t xml:space="preserve">  </w:t>
      </w:r>
    </w:p>
    <w:p w:rsidR="0049256C" w:rsidRDefault="00E67E65" w:rsidP="00996DCD">
      <w:r>
        <w:t>A</w:t>
      </w:r>
      <w:r w:rsidR="0049256C">
        <w:t xml:space="preserve">n example </w:t>
      </w:r>
      <w:r w:rsidR="006B3AAA">
        <w:t>P</w:t>
      </w:r>
      <w:r w:rsidR="0049256C">
        <w:t>reliminary CBA report</w:t>
      </w:r>
      <w:r>
        <w:t xml:space="preserve"> is </w:t>
      </w:r>
      <w:r w:rsidR="007277B2">
        <w:t xml:space="preserve">also </w:t>
      </w:r>
      <w:r>
        <w:t>provided at Annex A</w:t>
      </w:r>
      <w:r w:rsidR="0049256C">
        <w:t>.</w:t>
      </w:r>
      <w:r w:rsidR="006B3AAA">
        <w:t xml:space="preserve"> Completed Preliminary CBA reports should be between four and six pages in length</w:t>
      </w:r>
      <w:r w:rsidR="005B20F7">
        <w:t>, excluding appendices</w:t>
      </w:r>
      <w:r w:rsidR="006B3AAA">
        <w:t xml:space="preserve">. </w:t>
      </w:r>
    </w:p>
    <w:p w:rsidR="00DA233D" w:rsidRPr="00DA233D" w:rsidRDefault="00EC606A" w:rsidP="00EC606A">
      <w:pPr>
        <w:pStyle w:val="Heading2"/>
      </w:pPr>
      <w:r>
        <w:t>[</w:t>
      </w:r>
      <w:r w:rsidR="00DA233D">
        <w:t>Title of project</w:t>
      </w:r>
      <w:r>
        <w:t>]</w:t>
      </w:r>
    </w:p>
    <w:p w:rsidR="00E541CB" w:rsidRDefault="006B3AAA" w:rsidP="00756F28">
      <w:pPr>
        <w:pStyle w:val="Heading2"/>
      </w:pPr>
      <w:r>
        <w:t xml:space="preserve">1. </w:t>
      </w:r>
      <w:r w:rsidR="003C58B9">
        <w:t>Problem Statement</w:t>
      </w:r>
    </w:p>
    <w:p w:rsidR="008078E3" w:rsidRPr="00DA233D" w:rsidRDefault="008078E3" w:rsidP="008078E3">
      <w:pPr>
        <w:autoSpaceDE w:val="0"/>
        <w:autoSpaceDN w:val="0"/>
        <w:adjustRightInd w:val="0"/>
        <w:spacing w:after="0" w:line="240" w:lineRule="auto"/>
        <w:rPr>
          <w:rFonts w:cstheme="minorHAnsi"/>
        </w:rPr>
      </w:pPr>
      <w:r w:rsidRPr="00DA233D">
        <w:rPr>
          <w:rFonts w:cstheme="minorHAnsi"/>
        </w:rPr>
        <w:t>Write a short description of the problem that the project is trying to address. This should include</w:t>
      </w:r>
    </w:p>
    <w:p w:rsidR="008078E3" w:rsidRPr="00DA233D" w:rsidRDefault="008078E3" w:rsidP="008078E3">
      <w:pPr>
        <w:autoSpaceDE w:val="0"/>
        <w:autoSpaceDN w:val="0"/>
        <w:adjustRightInd w:val="0"/>
        <w:spacing w:after="0" w:line="240" w:lineRule="auto"/>
        <w:rPr>
          <w:rFonts w:cstheme="minorHAnsi"/>
        </w:rPr>
      </w:pPr>
      <w:r w:rsidRPr="00DA233D">
        <w:rPr>
          <w:rFonts w:cstheme="minorHAnsi"/>
        </w:rPr>
        <w:t>information on the nature and extent of the problem, making sure to reference sources of this</w:t>
      </w:r>
    </w:p>
    <w:p w:rsidR="00DA233D" w:rsidRPr="00DA233D" w:rsidRDefault="008078E3" w:rsidP="008078E3">
      <w:pPr>
        <w:autoSpaceDE w:val="0"/>
        <w:autoSpaceDN w:val="0"/>
        <w:adjustRightInd w:val="0"/>
        <w:spacing w:after="0" w:line="240" w:lineRule="auto"/>
        <w:rPr>
          <w:rFonts w:cstheme="minorHAnsi"/>
        </w:rPr>
      </w:pPr>
      <w:r w:rsidRPr="00DA233D">
        <w:rPr>
          <w:rFonts w:cstheme="minorHAnsi"/>
        </w:rPr>
        <w:t>information.</w:t>
      </w:r>
    </w:p>
    <w:p w:rsidR="008078E3" w:rsidRPr="00DA233D" w:rsidRDefault="008078E3" w:rsidP="00DA233D">
      <w:pPr>
        <w:pStyle w:val="Heading4"/>
      </w:pPr>
      <w:r w:rsidRPr="00DA233D">
        <w:t>Causes of the problem</w:t>
      </w:r>
    </w:p>
    <w:p w:rsidR="00A66928" w:rsidRDefault="008078E3" w:rsidP="00A66928">
      <w:pPr>
        <w:autoSpaceDE w:val="0"/>
        <w:autoSpaceDN w:val="0"/>
        <w:adjustRightInd w:val="0"/>
        <w:rPr>
          <w:rFonts w:cstheme="minorHAnsi"/>
        </w:rPr>
      </w:pPr>
      <w:r w:rsidRPr="00DA233D">
        <w:rPr>
          <w:rFonts w:cstheme="minorHAnsi"/>
        </w:rPr>
        <w:t>List the main causes and drivers of the problem under consideration and include a</w:t>
      </w:r>
      <w:r w:rsidR="00996DCD">
        <w:rPr>
          <w:rFonts w:cstheme="minorHAnsi"/>
        </w:rPr>
        <w:t xml:space="preserve"> </w:t>
      </w:r>
      <w:r w:rsidRPr="00DA233D">
        <w:rPr>
          <w:rFonts w:cstheme="minorHAnsi"/>
        </w:rPr>
        <w:t>preliminary appraisal of the relative importance of each of these causes and drivers.</w:t>
      </w:r>
      <w:r w:rsidR="00996DCD" w:rsidRPr="00996DCD">
        <w:rPr>
          <w:rFonts w:cstheme="minorHAnsi"/>
        </w:rPr>
        <w:t xml:space="preserve"> </w:t>
      </w:r>
      <w:r w:rsidR="00996DCD" w:rsidRPr="00DA233D">
        <w:rPr>
          <w:rFonts w:cstheme="minorHAnsi"/>
        </w:rPr>
        <w:t>Typically, there are multiple causes and drivers contributing to a given problem.</w:t>
      </w:r>
    </w:p>
    <w:p w:rsidR="00DA233D" w:rsidRPr="00DA233D" w:rsidRDefault="008078E3" w:rsidP="00A66928">
      <w:pPr>
        <w:autoSpaceDE w:val="0"/>
        <w:autoSpaceDN w:val="0"/>
        <w:adjustRightInd w:val="0"/>
        <w:rPr>
          <w:rFonts w:cstheme="minorHAnsi"/>
        </w:rPr>
      </w:pPr>
      <w:r w:rsidRPr="00DA233D">
        <w:rPr>
          <w:rFonts w:cstheme="minorHAnsi"/>
        </w:rPr>
        <w:t>The changing frequency and intensity of climate variables (e.g. rainfall, cyclone)</w:t>
      </w:r>
      <w:r w:rsidR="00996DCD">
        <w:rPr>
          <w:rFonts w:cstheme="minorHAnsi"/>
        </w:rPr>
        <w:t xml:space="preserve"> </w:t>
      </w:r>
      <w:r w:rsidR="000F1E3C">
        <w:rPr>
          <w:rFonts w:cstheme="minorHAnsi"/>
        </w:rPr>
        <w:t xml:space="preserve">should be </w:t>
      </w:r>
      <w:r w:rsidR="0006242D">
        <w:rPr>
          <w:rFonts w:cstheme="minorHAnsi"/>
        </w:rPr>
        <w:t>considered</w:t>
      </w:r>
      <w:r w:rsidRPr="00DA233D">
        <w:rPr>
          <w:rFonts w:cstheme="minorHAnsi"/>
        </w:rPr>
        <w:t xml:space="preserve"> here as one of the potential drivers of the problem (i.e. climate</w:t>
      </w:r>
      <w:r w:rsidR="00996DCD">
        <w:rPr>
          <w:rFonts w:cstheme="minorHAnsi"/>
        </w:rPr>
        <w:t xml:space="preserve"> </w:t>
      </w:r>
      <w:r w:rsidR="000F1E3C">
        <w:rPr>
          <w:rFonts w:cstheme="minorHAnsi"/>
        </w:rPr>
        <w:t xml:space="preserve">change risk </w:t>
      </w:r>
      <w:r w:rsidRPr="00DA233D">
        <w:rPr>
          <w:rFonts w:cstheme="minorHAnsi"/>
        </w:rPr>
        <w:t>considerations). This may be a large or small part of the problem at</w:t>
      </w:r>
      <w:r w:rsidR="00996DCD">
        <w:rPr>
          <w:rFonts w:cstheme="minorHAnsi"/>
        </w:rPr>
        <w:t xml:space="preserve"> </w:t>
      </w:r>
      <w:r w:rsidRPr="00DA233D">
        <w:rPr>
          <w:rFonts w:cstheme="minorHAnsi"/>
        </w:rPr>
        <w:t>hand.</w:t>
      </w:r>
    </w:p>
    <w:p w:rsidR="008078E3" w:rsidRDefault="006B3AAA" w:rsidP="00DA233D">
      <w:pPr>
        <w:pStyle w:val="Heading2"/>
      </w:pPr>
      <w:r>
        <w:t xml:space="preserve">2. </w:t>
      </w:r>
      <w:r w:rsidR="00DA233D">
        <w:t>Objective</w:t>
      </w:r>
      <w:r w:rsidR="008078E3">
        <w:t xml:space="preserve"> of the project</w:t>
      </w:r>
    </w:p>
    <w:p w:rsidR="00DA233D" w:rsidRPr="00DA233D" w:rsidRDefault="008078E3" w:rsidP="00996DCD">
      <w:pPr>
        <w:autoSpaceDE w:val="0"/>
        <w:autoSpaceDN w:val="0"/>
        <w:adjustRightInd w:val="0"/>
        <w:spacing w:after="0" w:line="240" w:lineRule="auto"/>
        <w:rPr>
          <w:rFonts w:cstheme="minorHAnsi"/>
        </w:rPr>
      </w:pPr>
      <w:r w:rsidRPr="00DA233D">
        <w:rPr>
          <w:rFonts w:cstheme="minorHAnsi"/>
        </w:rPr>
        <w:t xml:space="preserve">Write a short statement of the project </w:t>
      </w:r>
      <w:r w:rsidR="000E734D">
        <w:rPr>
          <w:rFonts w:cstheme="minorHAnsi"/>
        </w:rPr>
        <w:t>objective</w:t>
      </w:r>
      <w:r w:rsidRPr="00DA233D">
        <w:rPr>
          <w:rFonts w:cstheme="minorHAnsi"/>
        </w:rPr>
        <w:t xml:space="preserve">. </w:t>
      </w:r>
      <w:r w:rsidR="000E734D">
        <w:rPr>
          <w:rFonts w:cstheme="minorHAnsi"/>
        </w:rPr>
        <w:t>T</w:t>
      </w:r>
      <w:r w:rsidRPr="00DA233D">
        <w:rPr>
          <w:rFonts w:cstheme="minorHAnsi"/>
        </w:rPr>
        <w:t xml:space="preserve">his </w:t>
      </w:r>
      <w:r w:rsidR="00996DCD">
        <w:rPr>
          <w:rFonts w:cstheme="minorHAnsi"/>
        </w:rPr>
        <w:t xml:space="preserve">should </w:t>
      </w:r>
      <w:r w:rsidRPr="00DA233D">
        <w:rPr>
          <w:rFonts w:cstheme="minorHAnsi"/>
        </w:rPr>
        <w:t>directly link to one or more of the causes of the problem.</w:t>
      </w:r>
      <w:r w:rsidR="000E734D">
        <w:rPr>
          <w:rFonts w:cstheme="minorHAnsi"/>
        </w:rPr>
        <w:t xml:space="preserve"> It should also be as clear and as specific as possible. </w:t>
      </w:r>
    </w:p>
    <w:p w:rsidR="003C58B9" w:rsidRDefault="006B3AAA" w:rsidP="00756F28">
      <w:pPr>
        <w:pStyle w:val="Heading2"/>
      </w:pPr>
      <w:r>
        <w:t xml:space="preserve">3. </w:t>
      </w:r>
      <w:r w:rsidR="003C58B9">
        <w:t>Options</w:t>
      </w:r>
    </w:p>
    <w:p w:rsidR="008078E3" w:rsidRPr="00DA233D" w:rsidRDefault="008078E3" w:rsidP="008078E3">
      <w:pPr>
        <w:autoSpaceDE w:val="0"/>
        <w:autoSpaceDN w:val="0"/>
        <w:adjustRightInd w:val="0"/>
        <w:spacing w:after="0" w:line="240" w:lineRule="auto"/>
        <w:rPr>
          <w:rFonts w:cstheme="minorHAnsi"/>
          <w:bCs/>
          <w:color w:val="000000"/>
        </w:rPr>
      </w:pPr>
      <w:r w:rsidRPr="00DA233D">
        <w:rPr>
          <w:rFonts w:cstheme="minorHAnsi"/>
          <w:bCs/>
          <w:color w:val="000000"/>
        </w:rPr>
        <w:t>List and briefly describe each of the options that have been identified to achieve the</w:t>
      </w:r>
      <w:r w:rsidR="00996DCD">
        <w:rPr>
          <w:rFonts w:cstheme="minorHAnsi"/>
          <w:bCs/>
          <w:color w:val="000000"/>
        </w:rPr>
        <w:t xml:space="preserve"> </w:t>
      </w:r>
      <w:r w:rsidRPr="00DA233D">
        <w:rPr>
          <w:rFonts w:cstheme="minorHAnsi"/>
          <w:bCs/>
          <w:color w:val="000000"/>
        </w:rPr>
        <w:t xml:space="preserve">stated </w:t>
      </w:r>
      <w:r w:rsidR="00DA233D" w:rsidRPr="00DA233D">
        <w:rPr>
          <w:rFonts w:cstheme="minorHAnsi"/>
          <w:bCs/>
          <w:color w:val="000000"/>
        </w:rPr>
        <w:t>objectives</w:t>
      </w:r>
      <w:r w:rsidRPr="00DA233D">
        <w:rPr>
          <w:rFonts w:cstheme="minorHAnsi"/>
          <w:bCs/>
          <w:color w:val="000000"/>
        </w:rPr>
        <w:t>.</w:t>
      </w:r>
    </w:p>
    <w:p w:rsidR="00DA233D" w:rsidRDefault="00DA233D" w:rsidP="008078E3">
      <w:pPr>
        <w:autoSpaceDE w:val="0"/>
        <w:autoSpaceDN w:val="0"/>
        <w:adjustRightInd w:val="0"/>
        <w:spacing w:after="0" w:line="240" w:lineRule="auto"/>
        <w:rPr>
          <w:rFonts w:cstheme="minorHAnsi"/>
          <w:bCs/>
          <w:color w:val="000000"/>
        </w:rPr>
      </w:pPr>
    </w:p>
    <w:p w:rsidR="008078E3" w:rsidRPr="00DA233D" w:rsidRDefault="00DA233D" w:rsidP="008078E3">
      <w:pPr>
        <w:autoSpaceDE w:val="0"/>
        <w:autoSpaceDN w:val="0"/>
        <w:adjustRightInd w:val="0"/>
        <w:spacing w:after="0" w:line="240" w:lineRule="auto"/>
        <w:rPr>
          <w:rFonts w:cstheme="minorHAnsi"/>
          <w:bCs/>
          <w:color w:val="000000"/>
        </w:rPr>
      </w:pPr>
      <w:r>
        <w:rPr>
          <w:rFonts w:cstheme="minorHAnsi"/>
          <w:bCs/>
          <w:color w:val="000000"/>
        </w:rPr>
        <w:t>Also, c</w:t>
      </w:r>
      <w:r w:rsidR="008078E3" w:rsidRPr="00DA233D">
        <w:rPr>
          <w:rFonts w:cstheme="minorHAnsi"/>
          <w:bCs/>
          <w:color w:val="000000"/>
        </w:rPr>
        <w:t>heck that these options:</w:t>
      </w:r>
    </w:p>
    <w:p w:rsidR="008078E3" w:rsidRPr="00DA233D" w:rsidRDefault="008078E3" w:rsidP="00DA233D">
      <w:pPr>
        <w:pStyle w:val="ListParagraph"/>
        <w:numPr>
          <w:ilvl w:val="0"/>
          <w:numId w:val="2"/>
        </w:numPr>
        <w:autoSpaceDE w:val="0"/>
        <w:autoSpaceDN w:val="0"/>
        <w:adjustRightInd w:val="0"/>
        <w:spacing w:after="0" w:line="240" w:lineRule="auto"/>
        <w:rPr>
          <w:rFonts w:cstheme="minorHAnsi"/>
          <w:color w:val="000000"/>
        </w:rPr>
      </w:pPr>
      <w:r w:rsidRPr="00DA233D">
        <w:rPr>
          <w:rFonts w:cstheme="minorHAnsi"/>
          <w:color w:val="000000"/>
        </w:rPr>
        <w:t>were identified through a thorough process, including review of what has been done</w:t>
      </w:r>
    </w:p>
    <w:p w:rsidR="008078E3" w:rsidRPr="00DA233D" w:rsidRDefault="008078E3" w:rsidP="00DA233D">
      <w:pPr>
        <w:pStyle w:val="ListParagraph"/>
        <w:autoSpaceDE w:val="0"/>
        <w:autoSpaceDN w:val="0"/>
        <w:adjustRightInd w:val="0"/>
        <w:spacing w:after="0" w:line="240" w:lineRule="auto"/>
        <w:rPr>
          <w:rFonts w:cstheme="minorHAnsi"/>
          <w:color w:val="000000"/>
        </w:rPr>
      </w:pPr>
      <w:r w:rsidRPr="00DA233D">
        <w:rPr>
          <w:rFonts w:cstheme="minorHAnsi"/>
          <w:color w:val="000000"/>
        </w:rPr>
        <w:t>in other parts of the country and the broader Pacific region as well as consultations</w:t>
      </w:r>
    </w:p>
    <w:p w:rsidR="008078E3" w:rsidRPr="00DA233D" w:rsidRDefault="008078E3" w:rsidP="00DA233D">
      <w:pPr>
        <w:pStyle w:val="ListParagraph"/>
        <w:autoSpaceDE w:val="0"/>
        <w:autoSpaceDN w:val="0"/>
        <w:adjustRightInd w:val="0"/>
        <w:spacing w:after="0" w:line="240" w:lineRule="auto"/>
        <w:rPr>
          <w:rFonts w:cstheme="minorHAnsi"/>
          <w:color w:val="000000"/>
        </w:rPr>
      </w:pPr>
      <w:r w:rsidRPr="00DA233D">
        <w:rPr>
          <w:rFonts w:cstheme="minorHAnsi"/>
          <w:color w:val="000000"/>
        </w:rPr>
        <w:t>with communities;</w:t>
      </w:r>
    </w:p>
    <w:p w:rsidR="008078E3" w:rsidRPr="00DA233D" w:rsidRDefault="008078E3" w:rsidP="00DA233D">
      <w:pPr>
        <w:pStyle w:val="ListParagraph"/>
        <w:numPr>
          <w:ilvl w:val="0"/>
          <w:numId w:val="2"/>
        </w:numPr>
        <w:autoSpaceDE w:val="0"/>
        <w:autoSpaceDN w:val="0"/>
        <w:adjustRightInd w:val="0"/>
        <w:spacing w:after="0" w:line="240" w:lineRule="auto"/>
        <w:rPr>
          <w:rFonts w:cstheme="minorHAnsi"/>
          <w:color w:val="000000"/>
        </w:rPr>
      </w:pPr>
      <w:r w:rsidRPr="00DA233D">
        <w:rPr>
          <w:rFonts w:cstheme="minorHAnsi"/>
          <w:color w:val="000000"/>
        </w:rPr>
        <w:t>clearly align with the project aim (and causes/drivers of the problem);</w:t>
      </w:r>
    </w:p>
    <w:p w:rsidR="008078E3" w:rsidRPr="00DA233D" w:rsidRDefault="008078E3" w:rsidP="00DA233D">
      <w:pPr>
        <w:pStyle w:val="ListParagraph"/>
        <w:numPr>
          <w:ilvl w:val="0"/>
          <w:numId w:val="2"/>
        </w:numPr>
        <w:autoSpaceDE w:val="0"/>
        <w:autoSpaceDN w:val="0"/>
        <w:adjustRightInd w:val="0"/>
        <w:spacing w:after="0" w:line="240" w:lineRule="auto"/>
        <w:rPr>
          <w:rFonts w:cstheme="minorHAnsi"/>
          <w:color w:val="000000"/>
        </w:rPr>
      </w:pPr>
      <w:r w:rsidRPr="00DA233D">
        <w:rPr>
          <w:rFonts w:cstheme="minorHAnsi"/>
          <w:color w:val="000000"/>
        </w:rPr>
        <w:t>are feasible given the budget constraint for the project (if applicable);</w:t>
      </w:r>
      <w:r w:rsidR="00DA233D">
        <w:rPr>
          <w:rFonts w:cstheme="minorHAnsi"/>
          <w:color w:val="000000"/>
        </w:rPr>
        <w:t xml:space="preserve"> and</w:t>
      </w:r>
    </w:p>
    <w:p w:rsidR="00DA233D" w:rsidRDefault="008078E3" w:rsidP="00DA233D">
      <w:pPr>
        <w:pStyle w:val="ListParagraph"/>
        <w:numPr>
          <w:ilvl w:val="0"/>
          <w:numId w:val="2"/>
        </w:numPr>
        <w:autoSpaceDE w:val="0"/>
        <w:autoSpaceDN w:val="0"/>
        <w:adjustRightInd w:val="0"/>
        <w:spacing w:after="0" w:line="240" w:lineRule="auto"/>
        <w:rPr>
          <w:rFonts w:cstheme="minorHAnsi"/>
          <w:color w:val="000000"/>
        </w:rPr>
      </w:pPr>
      <w:r w:rsidRPr="00DA233D">
        <w:rPr>
          <w:rFonts w:cstheme="minorHAnsi"/>
          <w:color w:val="000000"/>
        </w:rPr>
        <w:t>are clearly distinguishable from one another</w:t>
      </w:r>
      <w:r w:rsidR="00DA233D">
        <w:rPr>
          <w:rFonts w:cstheme="minorHAnsi"/>
          <w:color w:val="000000"/>
        </w:rPr>
        <w:t xml:space="preserve">.  </w:t>
      </w:r>
    </w:p>
    <w:p w:rsidR="00DA233D" w:rsidRDefault="00DA233D" w:rsidP="00DA233D">
      <w:pPr>
        <w:pStyle w:val="ListParagraph"/>
        <w:autoSpaceDE w:val="0"/>
        <w:autoSpaceDN w:val="0"/>
        <w:adjustRightInd w:val="0"/>
        <w:spacing w:after="0" w:line="240" w:lineRule="auto"/>
        <w:rPr>
          <w:rFonts w:cstheme="minorHAnsi"/>
          <w:color w:val="000000"/>
        </w:rPr>
      </w:pPr>
    </w:p>
    <w:p w:rsidR="003C58B9" w:rsidRPr="00EC606A" w:rsidRDefault="00DA233D" w:rsidP="00EC606A">
      <w:pPr>
        <w:pStyle w:val="ListParagraph"/>
        <w:autoSpaceDE w:val="0"/>
        <w:autoSpaceDN w:val="0"/>
        <w:adjustRightInd w:val="0"/>
        <w:spacing w:after="0" w:line="240" w:lineRule="auto"/>
        <w:ind w:left="0"/>
        <w:rPr>
          <w:rFonts w:cstheme="minorHAnsi"/>
          <w:color w:val="000000"/>
        </w:rPr>
      </w:pPr>
      <w:r>
        <w:rPr>
          <w:rFonts w:cstheme="minorHAnsi"/>
          <w:color w:val="000000"/>
        </w:rPr>
        <w:t>Further, t</w:t>
      </w:r>
      <w:r w:rsidR="008078E3" w:rsidRPr="00DA233D">
        <w:rPr>
          <w:rFonts w:cstheme="minorHAnsi"/>
          <w:color w:val="000000"/>
        </w:rPr>
        <w:t xml:space="preserve">here </w:t>
      </w:r>
      <w:r>
        <w:rPr>
          <w:rFonts w:cstheme="minorHAnsi"/>
          <w:color w:val="000000"/>
        </w:rPr>
        <w:t>should be</w:t>
      </w:r>
      <w:r w:rsidR="008078E3" w:rsidRPr="00DA233D">
        <w:rPr>
          <w:rFonts w:cstheme="minorHAnsi"/>
          <w:color w:val="000000"/>
        </w:rPr>
        <w:t xml:space="preserve"> </w:t>
      </w:r>
      <w:r w:rsidR="00E67E65">
        <w:rPr>
          <w:rFonts w:cstheme="minorHAnsi"/>
          <w:color w:val="000000"/>
        </w:rPr>
        <w:t xml:space="preserve">between three and five options listed in order </w:t>
      </w:r>
      <w:r w:rsidR="008078E3" w:rsidRPr="00DA233D">
        <w:rPr>
          <w:rFonts w:cstheme="minorHAnsi"/>
          <w:color w:val="000000"/>
        </w:rPr>
        <w:t xml:space="preserve">to provide the decision maker </w:t>
      </w:r>
      <w:r w:rsidR="00E67E65">
        <w:rPr>
          <w:rFonts w:cstheme="minorHAnsi"/>
          <w:color w:val="000000"/>
        </w:rPr>
        <w:t>(Agency</w:t>
      </w:r>
      <w:r w:rsidR="0006242D">
        <w:rPr>
          <w:rFonts w:cstheme="minorHAnsi"/>
          <w:color w:val="000000"/>
        </w:rPr>
        <w:t>/Department</w:t>
      </w:r>
      <w:r w:rsidR="00E67E65">
        <w:rPr>
          <w:rFonts w:cstheme="minorHAnsi"/>
          <w:color w:val="000000"/>
        </w:rPr>
        <w:t xml:space="preserve"> Director, Budget Review Committee, ODA Unit, Governor, Kosrae State Legislature etc) </w:t>
      </w:r>
      <w:r w:rsidR="008078E3" w:rsidRPr="00DA233D">
        <w:rPr>
          <w:rFonts w:cstheme="minorHAnsi"/>
          <w:color w:val="000000"/>
        </w:rPr>
        <w:t>with real scope for</w:t>
      </w:r>
      <w:r w:rsidR="00EC606A">
        <w:rPr>
          <w:rFonts w:cstheme="minorHAnsi"/>
          <w:color w:val="000000"/>
        </w:rPr>
        <w:t xml:space="preserve"> </w:t>
      </w:r>
      <w:r w:rsidR="008078E3" w:rsidRPr="00DA233D">
        <w:rPr>
          <w:rFonts w:cstheme="minorHAnsi"/>
          <w:color w:val="000000"/>
        </w:rPr>
        <w:t>exercising choice.</w:t>
      </w:r>
    </w:p>
    <w:p w:rsidR="0098491C" w:rsidRDefault="006B3AAA" w:rsidP="00756F28">
      <w:pPr>
        <w:pStyle w:val="Heading2"/>
      </w:pPr>
      <w:r>
        <w:lastRenderedPageBreak/>
        <w:t>4.</w:t>
      </w:r>
      <w:r w:rsidR="008078E3">
        <w:t xml:space="preserve"> </w:t>
      </w:r>
      <w:r w:rsidR="003C58B9">
        <w:t>Costs and Benefits</w:t>
      </w:r>
    </w:p>
    <w:p w:rsidR="003C58B9" w:rsidRPr="00EC606A" w:rsidRDefault="0050651D" w:rsidP="00996DCD">
      <w:r w:rsidRPr="00EC606A">
        <w:t>Describe each cost and benefit category</w:t>
      </w:r>
      <w:r w:rsidR="00996DCD">
        <w:t xml:space="preserve"> that is a material consideration for the </w:t>
      </w:r>
      <w:r w:rsidR="00BA6520">
        <w:t xml:space="preserve">project problem and </w:t>
      </w:r>
      <w:r w:rsidR="00E67E65">
        <w:t>options identified</w:t>
      </w:r>
      <w:r w:rsidRPr="00EC606A">
        <w:t xml:space="preserve">. </w:t>
      </w:r>
      <w:r w:rsidR="00EC606A" w:rsidRPr="00EC606A">
        <w:t>This should</w:t>
      </w:r>
      <w:r w:rsidR="00996DCD">
        <w:t xml:space="preserve"> be about </w:t>
      </w:r>
      <w:r w:rsidR="00EC606A" w:rsidRPr="00EC606A">
        <w:t xml:space="preserve">a paragraph </w:t>
      </w:r>
      <w:r w:rsidR="00E67E65">
        <w:t xml:space="preserve">in length </w:t>
      </w:r>
      <w:r w:rsidR="00EC606A" w:rsidRPr="00EC606A">
        <w:t>for each category</w:t>
      </w:r>
      <w:r w:rsidR="006B3AAA">
        <w:t xml:space="preserve"> and should reference any </w:t>
      </w:r>
      <w:r w:rsidR="000F1E3C">
        <w:t xml:space="preserve">relevant </w:t>
      </w:r>
      <w:r w:rsidR="006B3AAA">
        <w:t>studies, surveys, or reports</w:t>
      </w:r>
      <w:r w:rsidR="00996DCD">
        <w:t xml:space="preserve">. </w:t>
      </w:r>
    </w:p>
    <w:p w:rsidR="003C58B9" w:rsidRDefault="006B3AAA" w:rsidP="00756F28">
      <w:pPr>
        <w:pStyle w:val="Heading2"/>
      </w:pPr>
      <w:r>
        <w:t xml:space="preserve">5. </w:t>
      </w:r>
      <w:r w:rsidR="0098491C">
        <w:t xml:space="preserve">Preliminary </w:t>
      </w:r>
      <w:r w:rsidR="003C58B9">
        <w:t>Results</w:t>
      </w:r>
      <w:r w:rsidR="00EC606A">
        <w:t xml:space="preserve"> and Sensitivity Analysis</w:t>
      </w:r>
    </w:p>
    <w:p w:rsidR="00996DCD" w:rsidRDefault="0049256C" w:rsidP="00996DCD">
      <w:r>
        <w:t>This section should provide a preliminary</w:t>
      </w:r>
      <w:r w:rsidR="00BA6520">
        <w:t xml:space="preserve"> </w:t>
      </w:r>
      <w:r>
        <w:t xml:space="preserve">evaluation of </w:t>
      </w:r>
      <w:r w:rsidR="00BA6520">
        <w:t>the</w:t>
      </w:r>
      <w:r w:rsidR="00E67E65">
        <w:t xml:space="preserve"> cost and benefit categor</w:t>
      </w:r>
      <w:r w:rsidR="00BA6520">
        <w:t>ies</w:t>
      </w:r>
      <w:r w:rsidR="00E67E65">
        <w:t xml:space="preserve"> for each option</w:t>
      </w:r>
      <w:r w:rsidR="0006242D">
        <w:t>. It should further</w:t>
      </w:r>
      <w:r w:rsidR="00F10DBD">
        <w:t xml:space="preserve"> </w:t>
      </w:r>
      <w:r w:rsidR="0006242D">
        <w:t>provide</w:t>
      </w:r>
      <w:r w:rsidR="00BA6520">
        <w:t xml:space="preserve"> </w:t>
      </w:r>
      <w:r w:rsidR="000F1E3C">
        <w:t xml:space="preserve">an </w:t>
      </w:r>
      <w:r w:rsidR="00BA6520">
        <w:t xml:space="preserve">overall judgement on whether </w:t>
      </w:r>
      <w:r w:rsidR="00F10DBD">
        <w:t>benefits</w:t>
      </w:r>
      <w:r w:rsidR="00BA6520">
        <w:t xml:space="preserve"> outweigh </w:t>
      </w:r>
      <w:r w:rsidR="00F10DBD">
        <w:t>costs</w:t>
      </w:r>
      <w:r w:rsidR="0006242D">
        <w:t xml:space="preserve"> for each option</w:t>
      </w:r>
      <w:r w:rsidR="00BA6520">
        <w:t xml:space="preserve">.   </w:t>
      </w:r>
      <w:r w:rsidR="00E67E65">
        <w:t xml:space="preserve"> </w:t>
      </w:r>
    </w:p>
    <w:p w:rsidR="00BA6520" w:rsidRDefault="00F10DBD" w:rsidP="00996DCD">
      <w:r>
        <w:t>(Input) c</w:t>
      </w:r>
      <w:r w:rsidR="00BA6520">
        <w:t>ost items should be quantified</w:t>
      </w:r>
      <w:r w:rsidR="0006242D">
        <w:t xml:space="preserve"> as much as possible</w:t>
      </w:r>
      <w:r w:rsidR="00BA6520">
        <w:t xml:space="preserve">. </w:t>
      </w:r>
      <w:r w:rsidR="00693793">
        <w:t>This can be expressed in terms of annualised cost or present value.</w:t>
      </w:r>
    </w:p>
    <w:p w:rsidR="00BA6520" w:rsidRDefault="00F10DBD" w:rsidP="00996DCD">
      <w:r>
        <w:t>B</w:t>
      </w:r>
      <w:r w:rsidR="00BA6520">
        <w:t>enefit item</w:t>
      </w:r>
      <w:r>
        <w:t>s</w:t>
      </w:r>
      <w:r w:rsidR="00BA6520">
        <w:t xml:space="preserve"> (and 'external' costs) should be </w:t>
      </w:r>
      <w:r>
        <w:t xml:space="preserve">qualitatively </w:t>
      </w:r>
      <w:r w:rsidR="00BA6520">
        <w:t>evaluated</w:t>
      </w:r>
      <w:r>
        <w:t xml:space="preserve">. This can be done by rating </w:t>
      </w:r>
      <w:r w:rsidR="000F1E3C">
        <w:t xml:space="preserve">the value of </w:t>
      </w:r>
      <w:r>
        <w:t>items</w:t>
      </w:r>
      <w:r w:rsidR="00BA6520">
        <w:t xml:space="preserve"> as either </w:t>
      </w:r>
      <w:r>
        <w:t>'</w:t>
      </w:r>
      <w:r w:rsidR="00BA6520">
        <w:t>high</w:t>
      </w:r>
      <w:r>
        <w:t>'</w:t>
      </w:r>
      <w:r w:rsidR="00BA6520">
        <w:t xml:space="preserve">, </w:t>
      </w:r>
      <w:r>
        <w:t>'</w:t>
      </w:r>
      <w:r w:rsidR="00BA6520">
        <w:t>medium</w:t>
      </w:r>
      <w:r>
        <w:t>'</w:t>
      </w:r>
      <w:r w:rsidR="00BA6520">
        <w:t xml:space="preserve"> or </w:t>
      </w:r>
      <w:r>
        <w:t>'</w:t>
      </w:r>
      <w:r w:rsidR="00BA6520">
        <w:t>low</w:t>
      </w:r>
      <w:r>
        <w:t>'. Ratings should take</w:t>
      </w:r>
      <w:r w:rsidR="00E67E65">
        <w:t xml:space="preserve"> into account</w:t>
      </w:r>
      <w:r w:rsidR="00BA6520">
        <w:t>:</w:t>
      </w:r>
      <w:r w:rsidR="00E67E65">
        <w:t xml:space="preserve"> </w:t>
      </w:r>
    </w:p>
    <w:p w:rsidR="00BA6520" w:rsidRDefault="00E67E65" w:rsidP="00F10DBD">
      <w:pPr>
        <w:pStyle w:val="ListParagraph"/>
        <w:numPr>
          <w:ilvl w:val="0"/>
          <w:numId w:val="4"/>
        </w:numPr>
      </w:pPr>
      <w:r>
        <w:t>the relative importanc</w:t>
      </w:r>
      <w:r w:rsidR="00BA6520">
        <w:t xml:space="preserve">e of each cost/benefit category; and </w:t>
      </w:r>
    </w:p>
    <w:p w:rsidR="00BA6520" w:rsidRDefault="00BA6520" w:rsidP="00F10DBD">
      <w:pPr>
        <w:pStyle w:val="ListParagraph"/>
        <w:numPr>
          <w:ilvl w:val="0"/>
          <w:numId w:val="4"/>
        </w:numPr>
      </w:pPr>
      <w:r>
        <w:t xml:space="preserve">the relative effectiveness </w:t>
      </w:r>
      <w:r w:rsidR="00F10DBD">
        <w:t xml:space="preserve">of each option in generating benefits (and external costs). </w:t>
      </w:r>
      <w:r>
        <w:t xml:space="preserve"> </w:t>
      </w:r>
    </w:p>
    <w:p w:rsidR="00EC606A" w:rsidRDefault="00F10DBD" w:rsidP="00996DCD">
      <w:r>
        <w:t xml:space="preserve">The overall judgement on whether benefits outweigh costs can be summarised using a traffic light system whereby: </w:t>
      </w:r>
    </w:p>
    <w:p w:rsidR="00F10DBD" w:rsidRDefault="00F10DBD" w:rsidP="00F10DBD">
      <w:pPr>
        <w:pStyle w:val="ListParagraph"/>
        <w:numPr>
          <w:ilvl w:val="0"/>
          <w:numId w:val="5"/>
        </w:numPr>
      </w:pPr>
      <w:r>
        <w:t xml:space="preserve">green indicates the option </w:t>
      </w:r>
      <w:r w:rsidR="0006242D">
        <w:t xml:space="preserve">clearly </w:t>
      </w:r>
      <w:r>
        <w:t xml:space="preserve">generates benefits that </w:t>
      </w:r>
      <w:r w:rsidR="0006242D">
        <w:t>are greater than</w:t>
      </w:r>
      <w:r>
        <w:t xml:space="preserve"> </w:t>
      </w:r>
      <w:r w:rsidR="004F60D1">
        <w:t xml:space="preserve">the </w:t>
      </w:r>
      <w:r>
        <w:t xml:space="preserve">costs; </w:t>
      </w:r>
    </w:p>
    <w:p w:rsidR="00F10DBD" w:rsidRDefault="00F10DBD" w:rsidP="00F10DBD">
      <w:pPr>
        <w:pStyle w:val="ListParagraph"/>
        <w:numPr>
          <w:ilvl w:val="0"/>
          <w:numId w:val="5"/>
        </w:numPr>
      </w:pPr>
      <w:r>
        <w:t xml:space="preserve">orange indicates that it is unclear whether project benefits outweigh costs; and </w:t>
      </w:r>
    </w:p>
    <w:p w:rsidR="00F10DBD" w:rsidRDefault="00F10DBD" w:rsidP="00F10DBD">
      <w:pPr>
        <w:pStyle w:val="ListParagraph"/>
        <w:numPr>
          <w:ilvl w:val="0"/>
          <w:numId w:val="5"/>
        </w:numPr>
      </w:pPr>
      <w:r>
        <w:t xml:space="preserve">red  indicates the option </w:t>
      </w:r>
      <w:r w:rsidR="0006242D">
        <w:t xml:space="preserve">clearly does not </w:t>
      </w:r>
      <w:r>
        <w:t xml:space="preserve">generate benefits that </w:t>
      </w:r>
      <w:r w:rsidR="0006242D">
        <w:t xml:space="preserve">are greater than the </w:t>
      </w:r>
      <w:r>
        <w:t>costs.</w:t>
      </w:r>
    </w:p>
    <w:p w:rsidR="00F10DBD" w:rsidRPr="00EC606A" w:rsidRDefault="00F10DBD" w:rsidP="004F60D1">
      <w:pPr>
        <w:pStyle w:val="ListParagraph"/>
        <w:ind w:left="0"/>
      </w:pPr>
      <w:r>
        <w:br/>
      </w:r>
      <w:r w:rsidR="004F60D1">
        <w:t xml:space="preserve">Results can be summarised in a table like the one below: </w:t>
      </w:r>
    </w:p>
    <w:tbl>
      <w:tblPr>
        <w:tblStyle w:val="TableGrid"/>
        <w:tblW w:w="0" w:type="auto"/>
        <w:tblLook w:val="04A0"/>
      </w:tblPr>
      <w:tblGrid>
        <w:gridCol w:w="1320"/>
        <w:gridCol w:w="1320"/>
        <w:gridCol w:w="1320"/>
        <w:gridCol w:w="1320"/>
        <w:gridCol w:w="1320"/>
        <w:gridCol w:w="1321"/>
        <w:gridCol w:w="1321"/>
      </w:tblGrid>
      <w:tr w:rsidR="0050651D" w:rsidTr="00DA23AA">
        <w:tc>
          <w:tcPr>
            <w:tcW w:w="1320" w:type="dxa"/>
            <w:vMerge w:val="restart"/>
          </w:tcPr>
          <w:p w:rsidR="0050651D" w:rsidRDefault="0050651D">
            <w:r>
              <w:t>Option</w:t>
            </w:r>
          </w:p>
        </w:tc>
        <w:tc>
          <w:tcPr>
            <w:tcW w:w="2640" w:type="dxa"/>
            <w:gridSpan w:val="2"/>
          </w:tcPr>
          <w:p w:rsidR="0050651D" w:rsidRDefault="0050651D" w:rsidP="0050651D">
            <w:pPr>
              <w:jc w:val="center"/>
              <w:rPr>
                <w:i/>
              </w:rPr>
            </w:pPr>
            <w:r>
              <w:t>Costs</w:t>
            </w:r>
          </w:p>
        </w:tc>
        <w:tc>
          <w:tcPr>
            <w:tcW w:w="3961" w:type="dxa"/>
            <w:gridSpan w:val="3"/>
          </w:tcPr>
          <w:p w:rsidR="0050651D" w:rsidRDefault="0050651D" w:rsidP="0050651D">
            <w:pPr>
              <w:jc w:val="center"/>
              <w:rPr>
                <w:i/>
              </w:rPr>
            </w:pPr>
            <w:r>
              <w:t>Benefits</w:t>
            </w:r>
          </w:p>
        </w:tc>
        <w:tc>
          <w:tcPr>
            <w:tcW w:w="1321" w:type="dxa"/>
            <w:vMerge w:val="restart"/>
          </w:tcPr>
          <w:p w:rsidR="0050651D" w:rsidRPr="0050651D" w:rsidRDefault="00393339">
            <w:r>
              <w:t>Traffic light</w:t>
            </w:r>
          </w:p>
        </w:tc>
      </w:tr>
      <w:tr w:rsidR="0050651D" w:rsidTr="0098491C">
        <w:tc>
          <w:tcPr>
            <w:tcW w:w="1320" w:type="dxa"/>
            <w:vMerge/>
          </w:tcPr>
          <w:p w:rsidR="0050651D" w:rsidRDefault="0050651D"/>
        </w:tc>
        <w:tc>
          <w:tcPr>
            <w:tcW w:w="1320" w:type="dxa"/>
          </w:tcPr>
          <w:p w:rsidR="0050651D" w:rsidRPr="0050651D" w:rsidRDefault="0050651D">
            <w:pPr>
              <w:rPr>
                <w:i/>
              </w:rPr>
            </w:pPr>
            <w:r>
              <w:rPr>
                <w:i/>
              </w:rPr>
              <w:t>Cost 1</w:t>
            </w:r>
          </w:p>
        </w:tc>
        <w:tc>
          <w:tcPr>
            <w:tcW w:w="1320" w:type="dxa"/>
          </w:tcPr>
          <w:p w:rsidR="0050651D" w:rsidRDefault="0050651D">
            <w:pPr>
              <w:rPr>
                <w:i/>
              </w:rPr>
            </w:pPr>
            <w:r>
              <w:rPr>
                <w:i/>
              </w:rPr>
              <w:t>Cost 2</w:t>
            </w:r>
          </w:p>
        </w:tc>
        <w:tc>
          <w:tcPr>
            <w:tcW w:w="1320" w:type="dxa"/>
          </w:tcPr>
          <w:p w:rsidR="0050651D" w:rsidRPr="0050651D" w:rsidRDefault="0050651D">
            <w:pPr>
              <w:rPr>
                <w:i/>
              </w:rPr>
            </w:pPr>
            <w:r>
              <w:rPr>
                <w:i/>
              </w:rPr>
              <w:t>Benefit 1</w:t>
            </w:r>
          </w:p>
        </w:tc>
        <w:tc>
          <w:tcPr>
            <w:tcW w:w="1320" w:type="dxa"/>
          </w:tcPr>
          <w:p w:rsidR="0050651D" w:rsidRDefault="0050651D" w:rsidP="0050651D">
            <w:pPr>
              <w:rPr>
                <w:i/>
              </w:rPr>
            </w:pPr>
            <w:r>
              <w:rPr>
                <w:i/>
              </w:rPr>
              <w:t>Benefit 2</w:t>
            </w:r>
          </w:p>
        </w:tc>
        <w:tc>
          <w:tcPr>
            <w:tcW w:w="1321" w:type="dxa"/>
          </w:tcPr>
          <w:p w:rsidR="0050651D" w:rsidRDefault="0050651D" w:rsidP="0050651D">
            <w:pPr>
              <w:rPr>
                <w:i/>
              </w:rPr>
            </w:pPr>
            <w:r>
              <w:rPr>
                <w:i/>
              </w:rPr>
              <w:t>Benefit 3</w:t>
            </w:r>
          </w:p>
        </w:tc>
        <w:tc>
          <w:tcPr>
            <w:tcW w:w="1321" w:type="dxa"/>
            <w:vMerge/>
          </w:tcPr>
          <w:p w:rsidR="0050651D" w:rsidRDefault="0050651D">
            <w:pPr>
              <w:rPr>
                <w:i/>
              </w:rPr>
            </w:pPr>
          </w:p>
        </w:tc>
      </w:tr>
      <w:tr w:rsidR="0098491C" w:rsidTr="00393339">
        <w:tc>
          <w:tcPr>
            <w:tcW w:w="1320" w:type="dxa"/>
          </w:tcPr>
          <w:p w:rsidR="0098491C" w:rsidRPr="0098491C" w:rsidRDefault="0098491C">
            <w:pPr>
              <w:rPr>
                <w:i/>
              </w:rPr>
            </w:pPr>
            <w:r w:rsidRPr="0098491C">
              <w:rPr>
                <w:i/>
              </w:rPr>
              <w:t>Option 1</w:t>
            </w:r>
          </w:p>
        </w:tc>
        <w:tc>
          <w:tcPr>
            <w:tcW w:w="1320" w:type="dxa"/>
          </w:tcPr>
          <w:p w:rsidR="0098491C" w:rsidRDefault="0098491C">
            <w:pPr>
              <w:rPr>
                <w:i/>
              </w:rPr>
            </w:pPr>
          </w:p>
        </w:tc>
        <w:tc>
          <w:tcPr>
            <w:tcW w:w="1320" w:type="dxa"/>
          </w:tcPr>
          <w:p w:rsidR="0098491C" w:rsidRDefault="0098491C">
            <w:pPr>
              <w:rPr>
                <w:i/>
              </w:rPr>
            </w:pPr>
          </w:p>
        </w:tc>
        <w:tc>
          <w:tcPr>
            <w:tcW w:w="1320" w:type="dxa"/>
          </w:tcPr>
          <w:p w:rsidR="0098491C" w:rsidRDefault="0098491C">
            <w:pPr>
              <w:rPr>
                <w:i/>
              </w:rPr>
            </w:pPr>
          </w:p>
        </w:tc>
        <w:tc>
          <w:tcPr>
            <w:tcW w:w="1320" w:type="dxa"/>
          </w:tcPr>
          <w:p w:rsidR="0098491C" w:rsidRDefault="0098491C">
            <w:pPr>
              <w:rPr>
                <w:i/>
              </w:rPr>
            </w:pPr>
          </w:p>
        </w:tc>
        <w:tc>
          <w:tcPr>
            <w:tcW w:w="1321" w:type="dxa"/>
          </w:tcPr>
          <w:p w:rsidR="0098491C" w:rsidRDefault="0098491C">
            <w:pPr>
              <w:rPr>
                <w:i/>
              </w:rPr>
            </w:pPr>
          </w:p>
        </w:tc>
        <w:tc>
          <w:tcPr>
            <w:tcW w:w="1321" w:type="dxa"/>
            <w:shd w:val="clear" w:color="auto" w:fill="00B050"/>
          </w:tcPr>
          <w:p w:rsidR="0098491C" w:rsidRDefault="0098491C">
            <w:pPr>
              <w:rPr>
                <w:i/>
              </w:rPr>
            </w:pPr>
          </w:p>
        </w:tc>
      </w:tr>
      <w:tr w:rsidR="0098491C" w:rsidTr="00393339">
        <w:tc>
          <w:tcPr>
            <w:tcW w:w="1320" w:type="dxa"/>
          </w:tcPr>
          <w:p w:rsidR="0098491C" w:rsidRDefault="0098491C" w:rsidP="0098491C">
            <w:pPr>
              <w:rPr>
                <w:i/>
              </w:rPr>
            </w:pPr>
            <w:r>
              <w:rPr>
                <w:i/>
              </w:rPr>
              <w:t>Option 2</w:t>
            </w:r>
          </w:p>
        </w:tc>
        <w:tc>
          <w:tcPr>
            <w:tcW w:w="1320" w:type="dxa"/>
          </w:tcPr>
          <w:p w:rsidR="0098491C" w:rsidRDefault="0098491C">
            <w:pPr>
              <w:rPr>
                <w:i/>
              </w:rPr>
            </w:pPr>
          </w:p>
        </w:tc>
        <w:tc>
          <w:tcPr>
            <w:tcW w:w="1320" w:type="dxa"/>
          </w:tcPr>
          <w:p w:rsidR="0098491C" w:rsidRDefault="0098491C">
            <w:pPr>
              <w:rPr>
                <w:i/>
              </w:rPr>
            </w:pPr>
          </w:p>
        </w:tc>
        <w:tc>
          <w:tcPr>
            <w:tcW w:w="1320" w:type="dxa"/>
          </w:tcPr>
          <w:p w:rsidR="0098491C" w:rsidRDefault="0098491C">
            <w:pPr>
              <w:rPr>
                <w:i/>
              </w:rPr>
            </w:pPr>
          </w:p>
        </w:tc>
        <w:tc>
          <w:tcPr>
            <w:tcW w:w="1320" w:type="dxa"/>
          </w:tcPr>
          <w:p w:rsidR="0098491C" w:rsidRDefault="0098491C">
            <w:pPr>
              <w:rPr>
                <w:i/>
              </w:rPr>
            </w:pPr>
          </w:p>
        </w:tc>
        <w:tc>
          <w:tcPr>
            <w:tcW w:w="1321" w:type="dxa"/>
          </w:tcPr>
          <w:p w:rsidR="0098491C" w:rsidRDefault="0098491C">
            <w:pPr>
              <w:rPr>
                <w:i/>
              </w:rPr>
            </w:pPr>
          </w:p>
        </w:tc>
        <w:tc>
          <w:tcPr>
            <w:tcW w:w="1321" w:type="dxa"/>
            <w:shd w:val="clear" w:color="auto" w:fill="FFC000"/>
          </w:tcPr>
          <w:p w:rsidR="0098491C" w:rsidRDefault="0098491C">
            <w:pPr>
              <w:rPr>
                <w:i/>
              </w:rPr>
            </w:pPr>
          </w:p>
        </w:tc>
      </w:tr>
      <w:tr w:rsidR="0098491C" w:rsidTr="00393339">
        <w:tc>
          <w:tcPr>
            <w:tcW w:w="1320" w:type="dxa"/>
          </w:tcPr>
          <w:p w:rsidR="0098491C" w:rsidRDefault="0098491C">
            <w:pPr>
              <w:rPr>
                <w:i/>
              </w:rPr>
            </w:pPr>
            <w:r>
              <w:rPr>
                <w:i/>
              </w:rPr>
              <w:t>Option 3</w:t>
            </w:r>
          </w:p>
        </w:tc>
        <w:tc>
          <w:tcPr>
            <w:tcW w:w="1320" w:type="dxa"/>
          </w:tcPr>
          <w:p w:rsidR="0098491C" w:rsidRDefault="0098491C">
            <w:pPr>
              <w:rPr>
                <w:i/>
              </w:rPr>
            </w:pPr>
          </w:p>
        </w:tc>
        <w:tc>
          <w:tcPr>
            <w:tcW w:w="1320" w:type="dxa"/>
          </w:tcPr>
          <w:p w:rsidR="0098491C" w:rsidRDefault="0098491C">
            <w:pPr>
              <w:rPr>
                <w:i/>
              </w:rPr>
            </w:pPr>
          </w:p>
        </w:tc>
        <w:tc>
          <w:tcPr>
            <w:tcW w:w="1320" w:type="dxa"/>
          </w:tcPr>
          <w:p w:rsidR="0098491C" w:rsidRDefault="0098491C">
            <w:pPr>
              <w:rPr>
                <w:i/>
              </w:rPr>
            </w:pPr>
          </w:p>
        </w:tc>
        <w:tc>
          <w:tcPr>
            <w:tcW w:w="1320" w:type="dxa"/>
          </w:tcPr>
          <w:p w:rsidR="0098491C" w:rsidRDefault="0098491C">
            <w:pPr>
              <w:rPr>
                <w:i/>
              </w:rPr>
            </w:pPr>
          </w:p>
        </w:tc>
        <w:tc>
          <w:tcPr>
            <w:tcW w:w="1321" w:type="dxa"/>
          </w:tcPr>
          <w:p w:rsidR="0098491C" w:rsidRDefault="0098491C">
            <w:pPr>
              <w:rPr>
                <w:i/>
              </w:rPr>
            </w:pPr>
          </w:p>
        </w:tc>
        <w:tc>
          <w:tcPr>
            <w:tcW w:w="1321" w:type="dxa"/>
            <w:shd w:val="clear" w:color="auto" w:fill="FF0000"/>
          </w:tcPr>
          <w:p w:rsidR="0098491C" w:rsidRDefault="0098491C">
            <w:pPr>
              <w:rPr>
                <w:i/>
              </w:rPr>
            </w:pPr>
          </w:p>
        </w:tc>
      </w:tr>
    </w:tbl>
    <w:p w:rsidR="003C58B9" w:rsidRPr="004F60D1" w:rsidRDefault="003C58B9" w:rsidP="004F60D1">
      <w:pPr>
        <w:pStyle w:val="Heading4"/>
      </w:pPr>
      <w:r w:rsidRPr="004F60D1">
        <w:t>Sensitivity Analysis</w:t>
      </w:r>
      <w:r w:rsidR="0098491C" w:rsidRPr="004F60D1">
        <w:t xml:space="preserve"> (risks and uncertainties)</w:t>
      </w:r>
    </w:p>
    <w:p w:rsidR="0006242D" w:rsidRDefault="004F60D1" w:rsidP="00A66928">
      <w:pPr>
        <w:autoSpaceDE w:val="0"/>
        <w:autoSpaceDN w:val="0"/>
        <w:adjustRightInd w:val="0"/>
        <w:spacing w:after="0" w:line="240" w:lineRule="auto"/>
        <w:rPr>
          <w:rFonts w:cstheme="minorHAnsi"/>
        </w:rPr>
      </w:pPr>
      <w:r w:rsidRPr="004F60D1">
        <w:rPr>
          <w:rFonts w:cstheme="minorHAnsi"/>
        </w:rPr>
        <w:t>In addition to the main results, this section should</w:t>
      </w:r>
      <w:r w:rsidR="008078E3" w:rsidRPr="004F60D1">
        <w:rPr>
          <w:rFonts w:cstheme="minorHAnsi"/>
        </w:rPr>
        <w:t xml:space="preserve"> </w:t>
      </w:r>
      <w:r w:rsidRPr="004F60D1">
        <w:rPr>
          <w:rFonts w:cstheme="minorHAnsi"/>
        </w:rPr>
        <w:t>l</w:t>
      </w:r>
      <w:r w:rsidR="008078E3" w:rsidRPr="004F60D1">
        <w:rPr>
          <w:rFonts w:cstheme="minorHAnsi"/>
        </w:rPr>
        <w:t xml:space="preserve">ist </w:t>
      </w:r>
      <w:r w:rsidRPr="004F60D1">
        <w:rPr>
          <w:rFonts w:cstheme="minorHAnsi"/>
        </w:rPr>
        <w:t xml:space="preserve">the </w:t>
      </w:r>
      <w:r w:rsidR="008078E3" w:rsidRPr="004F60D1">
        <w:rPr>
          <w:rFonts w:cstheme="minorHAnsi"/>
        </w:rPr>
        <w:t xml:space="preserve">key parameters (e.g. length of drought period) </w:t>
      </w:r>
      <w:r w:rsidRPr="004F60D1">
        <w:rPr>
          <w:rFonts w:cstheme="minorHAnsi"/>
        </w:rPr>
        <w:t>for which</w:t>
      </w:r>
      <w:r w:rsidR="008078E3" w:rsidRPr="004F60D1">
        <w:rPr>
          <w:rFonts w:cstheme="minorHAnsi"/>
        </w:rPr>
        <w:t xml:space="preserve"> there is a significant amount of</w:t>
      </w:r>
      <w:r w:rsidRPr="004F60D1">
        <w:rPr>
          <w:rFonts w:cstheme="minorHAnsi"/>
        </w:rPr>
        <w:t xml:space="preserve"> </w:t>
      </w:r>
      <w:r w:rsidR="008078E3" w:rsidRPr="004F60D1">
        <w:rPr>
          <w:rFonts w:cstheme="minorHAnsi"/>
        </w:rPr>
        <w:t>uncertainty</w:t>
      </w:r>
      <w:r w:rsidRPr="004F60D1">
        <w:rPr>
          <w:rFonts w:cstheme="minorHAnsi"/>
        </w:rPr>
        <w:t xml:space="preserve"> and which are an important factor for realising project costs or benefits</w:t>
      </w:r>
      <w:r w:rsidR="00840F37" w:rsidRPr="004F60D1">
        <w:rPr>
          <w:rFonts w:cstheme="minorHAnsi"/>
        </w:rPr>
        <w:t xml:space="preserve">. </w:t>
      </w:r>
    </w:p>
    <w:p w:rsidR="0006242D" w:rsidRDefault="0006242D" w:rsidP="00A66928">
      <w:pPr>
        <w:autoSpaceDE w:val="0"/>
        <w:autoSpaceDN w:val="0"/>
        <w:adjustRightInd w:val="0"/>
        <w:spacing w:after="0" w:line="240" w:lineRule="auto"/>
        <w:rPr>
          <w:rFonts w:cstheme="minorHAnsi"/>
        </w:rPr>
      </w:pPr>
    </w:p>
    <w:p w:rsidR="004F60D1" w:rsidRPr="00A66928" w:rsidRDefault="00840F37" w:rsidP="00A66928">
      <w:pPr>
        <w:autoSpaceDE w:val="0"/>
        <w:autoSpaceDN w:val="0"/>
        <w:adjustRightInd w:val="0"/>
        <w:spacing w:after="0" w:line="240" w:lineRule="auto"/>
        <w:rPr>
          <w:rFonts w:cstheme="minorHAnsi"/>
        </w:rPr>
      </w:pPr>
      <w:r w:rsidRPr="004F60D1">
        <w:rPr>
          <w:rFonts w:cstheme="minorHAnsi"/>
        </w:rPr>
        <w:t>Comment</w:t>
      </w:r>
      <w:r w:rsidR="004F60D1" w:rsidRPr="004F60D1">
        <w:rPr>
          <w:rFonts w:cstheme="minorHAnsi"/>
        </w:rPr>
        <w:t>ary should also be provided</w:t>
      </w:r>
      <w:r w:rsidRPr="004F60D1">
        <w:rPr>
          <w:rFonts w:cstheme="minorHAnsi"/>
        </w:rPr>
        <w:t xml:space="preserve"> </w:t>
      </w:r>
      <w:r w:rsidR="004F60D1" w:rsidRPr="004F60D1">
        <w:rPr>
          <w:rFonts w:cstheme="minorHAnsi"/>
        </w:rPr>
        <w:t>explaining how significant (or sensitive) these uncertainties are for overall judgements about whether benefits outweigh costs</w:t>
      </w:r>
      <w:r w:rsidRPr="004F60D1">
        <w:rPr>
          <w:rFonts w:cstheme="minorHAnsi"/>
        </w:rPr>
        <w:t xml:space="preserve">. </w:t>
      </w:r>
    </w:p>
    <w:p w:rsidR="003C58B9" w:rsidRDefault="006B3AAA" w:rsidP="00756F28">
      <w:pPr>
        <w:pStyle w:val="Heading2"/>
      </w:pPr>
      <w:r>
        <w:t xml:space="preserve">6. </w:t>
      </w:r>
      <w:r w:rsidR="006105B1">
        <w:t>E</w:t>
      </w:r>
      <w:r w:rsidR="008078E3">
        <w:t>quity and d</w:t>
      </w:r>
      <w:r w:rsidR="003C58B9">
        <w:t>istribution</w:t>
      </w:r>
      <w:r w:rsidR="008078E3">
        <w:t>al implications</w:t>
      </w:r>
    </w:p>
    <w:p w:rsidR="008078E3" w:rsidRPr="00A66928" w:rsidRDefault="008078E3" w:rsidP="008078E3">
      <w:pPr>
        <w:autoSpaceDE w:val="0"/>
        <w:autoSpaceDN w:val="0"/>
        <w:adjustRightInd w:val="0"/>
        <w:spacing w:after="0" w:line="240" w:lineRule="auto"/>
        <w:rPr>
          <w:rFonts w:cstheme="minorHAnsi"/>
          <w:color w:val="000000"/>
        </w:rPr>
      </w:pPr>
      <w:r w:rsidRPr="00A66928">
        <w:rPr>
          <w:rFonts w:cstheme="minorHAnsi"/>
          <w:color w:val="000000"/>
        </w:rPr>
        <w:t>Identify which stakeholder groups will incur costs and which stakeholder groups will accrue</w:t>
      </w:r>
      <w:r w:rsidR="00A66928" w:rsidRPr="00A66928">
        <w:rPr>
          <w:rFonts w:cstheme="minorHAnsi"/>
          <w:color w:val="000000"/>
        </w:rPr>
        <w:t xml:space="preserve"> </w:t>
      </w:r>
      <w:r w:rsidRPr="00A66928">
        <w:rPr>
          <w:rFonts w:cstheme="minorHAnsi"/>
          <w:color w:val="000000"/>
        </w:rPr>
        <w:t>benefits for each major cost and benefit category.</w:t>
      </w:r>
    </w:p>
    <w:p w:rsidR="004F60D1" w:rsidRPr="00A66928" w:rsidRDefault="004F60D1" w:rsidP="008078E3">
      <w:pPr>
        <w:autoSpaceDE w:val="0"/>
        <w:autoSpaceDN w:val="0"/>
        <w:adjustRightInd w:val="0"/>
        <w:spacing w:after="0" w:line="240" w:lineRule="auto"/>
        <w:rPr>
          <w:rFonts w:cstheme="minorHAnsi"/>
          <w:color w:val="000000"/>
        </w:rPr>
      </w:pPr>
    </w:p>
    <w:p w:rsidR="008078E3" w:rsidRPr="00A66928" w:rsidRDefault="008078E3" w:rsidP="008078E3">
      <w:pPr>
        <w:autoSpaceDE w:val="0"/>
        <w:autoSpaceDN w:val="0"/>
        <w:adjustRightInd w:val="0"/>
        <w:spacing w:after="0" w:line="240" w:lineRule="auto"/>
        <w:rPr>
          <w:rFonts w:cstheme="minorHAnsi"/>
          <w:color w:val="000000"/>
        </w:rPr>
      </w:pPr>
      <w:r w:rsidRPr="00A66928">
        <w:rPr>
          <w:rFonts w:cstheme="minorHAnsi"/>
          <w:color w:val="000000"/>
        </w:rPr>
        <w:t>Summarise this information in a table like the one below.</w:t>
      </w:r>
    </w:p>
    <w:p w:rsidR="008078E3" w:rsidRDefault="008078E3" w:rsidP="008078E3">
      <w:pPr>
        <w:autoSpaceDE w:val="0"/>
        <w:autoSpaceDN w:val="0"/>
        <w:adjustRightInd w:val="0"/>
        <w:spacing w:after="0" w:line="240" w:lineRule="auto"/>
        <w:rPr>
          <w:rFonts w:ascii="DIN-Medium" w:hAnsi="DIN-Medium" w:cs="DIN-Medium"/>
          <w:color w:val="FFFFFF"/>
          <w:sz w:val="16"/>
          <w:szCs w:val="16"/>
        </w:rPr>
      </w:pPr>
      <w:r>
        <w:rPr>
          <w:rFonts w:ascii="DIN-Medium" w:hAnsi="DIN-Medium" w:cs="DIN-Medium"/>
          <w:color w:val="FFFFFF"/>
          <w:sz w:val="16"/>
          <w:szCs w:val="16"/>
        </w:rPr>
        <w:t>Cost/benefit Stakeholder group 1 Stakeholder group 2 Stakeholder group 3</w:t>
      </w:r>
    </w:p>
    <w:tbl>
      <w:tblPr>
        <w:tblStyle w:val="TableGrid"/>
        <w:tblW w:w="0" w:type="auto"/>
        <w:tblLook w:val="04A0"/>
      </w:tblPr>
      <w:tblGrid>
        <w:gridCol w:w="2310"/>
        <w:gridCol w:w="2310"/>
        <w:gridCol w:w="2311"/>
        <w:gridCol w:w="2311"/>
      </w:tblGrid>
      <w:tr w:rsidR="008078E3" w:rsidTr="008078E3">
        <w:tc>
          <w:tcPr>
            <w:tcW w:w="2310" w:type="dxa"/>
          </w:tcPr>
          <w:p w:rsidR="008078E3" w:rsidRPr="00A66928" w:rsidRDefault="00816349" w:rsidP="008078E3">
            <w:pPr>
              <w:autoSpaceDE w:val="0"/>
              <w:autoSpaceDN w:val="0"/>
              <w:adjustRightInd w:val="0"/>
              <w:rPr>
                <w:rFonts w:cstheme="minorHAnsi"/>
                <w:color w:val="000000"/>
              </w:rPr>
            </w:pPr>
            <w:r w:rsidRPr="00A66928">
              <w:rPr>
                <w:rFonts w:cstheme="minorHAnsi"/>
                <w:color w:val="000000"/>
              </w:rPr>
              <w:t>Cost/benefit category</w:t>
            </w:r>
          </w:p>
        </w:tc>
        <w:tc>
          <w:tcPr>
            <w:tcW w:w="2310" w:type="dxa"/>
          </w:tcPr>
          <w:p w:rsidR="008078E3" w:rsidRPr="00A66928" w:rsidRDefault="008078E3" w:rsidP="008078E3">
            <w:pPr>
              <w:autoSpaceDE w:val="0"/>
              <w:autoSpaceDN w:val="0"/>
              <w:adjustRightInd w:val="0"/>
              <w:rPr>
                <w:rFonts w:cstheme="minorHAnsi"/>
                <w:color w:val="000000"/>
              </w:rPr>
            </w:pPr>
            <w:r w:rsidRPr="00A66928">
              <w:rPr>
                <w:rFonts w:cstheme="minorHAnsi"/>
                <w:color w:val="000000"/>
              </w:rPr>
              <w:t>Stakeholder group 1</w:t>
            </w:r>
          </w:p>
        </w:tc>
        <w:tc>
          <w:tcPr>
            <w:tcW w:w="2311" w:type="dxa"/>
          </w:tcPr>
          <w:p w:rsidR="008078E3" w:rsidRPr="00A66928" w:rsidRDefault="008078E3" w:rsidP="008078E3">
            <w:pPr>
              <w:autoSpaceDE w:val="0"/>
              <w:autoSpaceDN w:val="0"/>
              <w:adjustRightInd w:val="0"/>
              <w:rPr>
                <w:rFonts w:cstheme="minorHAnsi"/>
                <w:color w:val="000000"/>
              </w:rPr>
            </w:pPr>
            <w:r w:rsidRPr="00A66928">
              <w:rPr>
                <w:rFonts w:cstheme="minorHAnsi"/>
                <w:color w:val="000000"/>
              </w:rPr>
              <w:t>Stakeholder group 2</w:t>
            </w:r>
          </w:p>
        </w:tc>
        <w:tc>
          <w:tcPr>
            <w:tcW w:w="2311" w:type="dxa"/>
          </w:tcPr>
          <w:p w:rsidR="008078E3" w:rsidRPr="00A66928" w:rsidRDefault="008078E3" w:rsidP="008078E3">
            <w:pPr>
              <w:autoSpaceDE w:val="0"/>
              <w:autoSpaceDN w:val="0"/>
              <w:adjustRightInd w:val="0"/>
              <w:rPr>
                <w:rFonts w:cstheme="minorHAnsi"/>
                <w:color w:val="000000"/>
              </w:rPr>
            </w:pPr>
            <w:r w:rsidRPr="00A66928">
              <w:rPr>
                <w:rFonts w:cstheme="minorHAnsi"/>
                <w:color w:val="000000"/>
              </w:rPr>
              <w:t>Stakeholder group 3</w:t>
            </w:r>
          </w:p>
        </w:tc>
      </w:tr>
      <w:tr w:rsidR="008078E3" w:rsidTr="008078E3">
        <w:tc>
          <w:tcPr>
            <w:tcW w:w="2310" w:type="dxa"/>
          </w:tcPr>
          <w:p w:rsidR="008078E3" w:rsidRPr="00A66928" w:rsidRDefault="00816349" w:rsidP="008078E3">
            <w:pPr>
              <w:autoSpaceDE w:val="0"/>
              <w:autoSpaceDN w:val="0"/>
              <w:adjustRightInd w:val="0"/>
              <w:rPr>
                <w:rFonts w:cstheme="minorHAnsi"/>
                <w:i/>
                <w:color w:val="000000"/>
              </w:rPr>
            </w:pPr>
            <w:r w:rsidRPr="00A66928">
              <w:rPr>
                <w:rFonts w:cstheme="minorHAnsi"/>
                <w:i/>
                <w:color w:val="000000"/>
              </w:rPr>
              <w:t>Cost 1</w:t>
            </w:r>
          </w:p>
        </w:tc>
        <w:tc>
          <w:tcPr>
            <w:tcW w:w="2310" w:type="dxa"/>
          </w:tcPr>
          <w:p w:rsidR="008078E3" w:rsidRPr="00A66928" w:rsidRDefault="008078E3" w:rsidP="008078E3">
            <w:pPr>
              <w:autoSpaceDE w:val="0"/>
              <w:autoSpaceDN w:val="0"/>
              <w:adjustRightInd w:val="0"/>
              <w:rPr>
                <w:rFonts w:cstheme="minorHAnsi"/>
                <w:color w:val="000000"/>
              </w:rPr>
            </w:pPr>
          </w:p>
        </w:tc>
        <w:tc>
          <w:tcPr>
            <w:tcW w:w="2311" w:type="dxa"/>
          </w:tcPr>
          <w:p w:rsidR="008078E3" w:rsidRPr="00A66928" w:rsidRDefault="008078E3" w:rsidP="008078E3">
            <w:pPr>
              <w:autoSpaceDE w:val="0"/>
              <w:autoSpaceDN w:val="0"/>
              <w:adjustRightInd w:val="0"/>
              <w:rPr>
                <w:rFonts w:cstheme="minorHAnsi"/>
                <w:color w:val="000000"/>
              </w:rPr>
            </w:pPr>
          </w:p>
        </w:tc>
        <w:tc>
          <w:tcPr>
            <w:tcW w:w="2311" w:type="dxa"/>
          </w:tcPr>
          <w:p w:rsidR="008078E3" w:rsidRPr="00A66928" w:rsidRDefault="008078E3" w:rsidP="008078E3">
            <w:pPr>
              <w:autoSpaceDE w:val="0"/>
              <w:autoSpaceDN w:val="0"/>
              <w:adjustRightInd w:val="0"/>
              <w:rPr>
                <w:rFonts w:cstheme="minorHAnsi"/>
                <w:color w:val="000000"/>
              </w:rPr>
            </w:pPr>
          </w:p>
        </w:tc>
      </w:tr>
      <w:tr w:rsidR="008078E3" w:rsidTr="008078E3">
        <w:tc>
          <w:tcPr>
            <w:tcW w:w="2310" w:type="dxa"/>
          </w:tcPr>
          <w:p w:rsidR="008078E3" w:rsidRPr="00A66928" w:rsidRDefault="00816349" w:rsidP="008078E3">
            <w:pPr>
              <w:autoSpaceDE w:val="0"/>
              <w:autoSpaceDN w:val="0"/>
              <w:adjustRightInd w:val="0"/>
              <w:rPr>
                <w:rFonts w:cstheme="minorHAnsi"/>
                <w:i/>
                <w:color w:val="000000"/>
              </w:rPr>
            </w:pPr>
            <w:r w:rsidRPr="00A66928">
              <w:rPr>
                <w:rFonts w:cstheme="minorHAnsi"/>
                <w:i/>
                <w:color w:val="000000"/>
              </w:rPr>
              <w:lastRenderedPageBreak/>
              <w:t>Cost 2</w:t>
            </w:r>
          </w:p>
        </w:tc>
        <w:tc>
          <w:tcPr>
            <w:tcW w:w="2310" w:type="dxa"/>
          </w:tcPr>
          <w:p w:rsidR="008078E3" w:rsidRPr="00A66928" w:rsidRDefault="008078E3" w:rsidP="008078E3">
            <w:pPr>
              <w:autoSpaceDE w:val="0"/>
              <w:autoSpaceDN w:val="0"/>
              <w:adjustRightInd w:val="0"/>
              <w:rPr>
                <w:rFonts w:cstheme="minorHAnsi"/>
                <w:color w:val="000000"/>
              </w:rPr>
            </w:pPr>
          </w:p>
        </w:tc>
        <w:tc>
          <w:tcPr>
            <w:tcW w:w="2311" w:type="dxa"/>
          </w:tcPr>
          <w:p w:rsidR="008078E3" w:rsidRPr="00A66928" w:rsidRDefault="008078E3" w:rsidP="008078E3">
            <w:pPr>
              <w:autoSpaceDE w:val="0"/>
              <w:autoSpaceDN w:val="0"/>
              <w:adjustRightInd w:val="0"/>
              <w:rPr>
                <w:rFonts w:cstheme="minorHAnsi"/>
                <w:color w:val="000000"/>
              </w:rPr>
            </w:pPr>
          </w:p>
        </w:tc>
        <w:tc>
          <w:tcPr>
            <w:tcW w:w="2311" w:type="dxa"/>
          </w:tcPr>
          <w:p w:rsidR="008078E3" w:rsidRPr="00A66928" w:rsidRDefault="008078E3" w:rsidP="008078E3">
            <w:pPr>
              <w:autoSpaceDE w:val="0"/>
              <w:autoSpaceDN w:val="0"/>
              <w:adjustRightInd w:val="0"/>
              <w:rPr>
                <w:rFonts w:cstheme="minorHAnsi"/>
                <w:color w:val="000000"/>
              </w:rPr>
            </w:pPr>
          </w:p>
        </w:tc>
      </w:tr>
      <w:tr w:rsidR="00816349" w:rsidTr="008078E3">
        <w:tc>
          <w:tcPr>
            <w:tcW w:w="2310" w:type="dxa"/>
          </w:tcPr>
          <w:p w:rsidR="00816349" w:rsidRPr="00A66928" w:rsidRDefault="00816349" w:rsidP="008078E3">
            <w:pPr>
              <w:autoSpaceDE w:val="0"/>
              <w:autoSpaceDN w:val="0"/>
              <w:adjustRightInd w:val="0"/>
              <w:rPr>
                <w:rFonts w:cstheme="minorHAnsi"/>
                <w:i/>
                <w:color w:val="000000"/>
              </w:rPr>
            </w:pPr>
            <w:r w:rsidRPr="00A66928">
              <w:rPr>
                <w:rFonts w:cstheme="minorHAnsi"/>
                <w:i/>
                <w:color w:val="000000"/>
              </w:rPr>
              <w:t>Benefit 1</w:t>
            </w:r>
          </w:p>
        </w:tc>
        <w:tc>
          <w:tcPr>
            <w:tcW w:w="2310" w:type="dxa"/>
          </w:tcPr>
          <w:p w:rsidR="00816349" w:rsidRPr="00A66928" w:rsidRDefault="00816349" w:rsidP="008078E3">
            <w:pPr>
              <w:autoSpaceDE w:val="0"/>
              <w:autoSpaceDN w:val="0"/>
              <w:adjustRightInd w:val="0"/>
              <w:rPr>
                <w:rFonts w:cstheme="minorHAnsi"/>
                <w:color w:val="000000"/>
              </w:rPr>
            </w:pPr>
          </w:p>
        </w:tc>
        <w:tc>
          <w:tcPr>
            <w:tcW w:w="2311" w:type="dxa"/>
          </w:tcPr>
          <w:p w:rsidR="00816349" w:rsidRPr="00A66928" w:rsidRDefault="00816349" w:rsidP="008078E3">
            <w:pPr>
              <w:autoSpaceDE w:val="0"/>
              <w:autoSpaceDN w:val="0"/>
              <w:adjustRightInd w:val="0"/>
              <w:rPr>
                <w:rFonts w:cstheme="minorHAnsi"/>
                <w:color w:val="000000"/>
              </w:rPr>
            </w:pPr>
          </w:p>
        </w:tc>
        <w:tc>
          <w:tcPr>
            <w:tcW w:w="2311" w:type="dxa"/>
          </w:tcPr>
          <w:p w:rsidR="00816349" w:rsidRPr="00A66928" w:rsidRDefault="00816349" w:rsidP="008078E3">
            <w:pPr>
              <w:autoSpaceDE w:val="0"/>
              <w:autoSpaceDN w:val="0"/>
              <w:adjustRightInd w:val="0"/>
              <w:rPr>
                <w:rFonts w:cstheme="minorHAnsi"/>
                <w:color w:val="000000"/>
              </w:rPr>
            </w:pPr>
          </w:p>
        </w:tc>
      </w:tr>
      <w:tr w:rsidR="00816349" w:rsidTr="008078E3">
        <w:tc>
          <w:tcPr>
            <w:tcW w:w="2310" w:type="dxa"/>
          </w:tcPr>
          <w:p w:rsidR="00816349" w:rsidRPr="00A66928" w:rsidRDefault="00816349" w:rsidP="008078E3">
            <w:pPr>
              <w:autoSpaceDE w:val="0"/>
              <w:autoSpaceDN w:val="0"/>
              <w:adjustRightInd w:val="0"/>
              <w:rPr>
                <w:rFonts w:cstheme="minorHAnsi"/>
                <w:i/>
                <w:color w:val="000000"/>
              </w:rPr>
            </w:pPr>
            <w:r w:rsidRPr="00A66928">
              <w:rPr>
                <w:rFonts w:cstheme="minorHAnsi"/>
                <w:i/>
                <w:color w:val="000000"/>
              </w:rPr>
              <w:t>Benefit 2</w:t>
            </w:r>
          </w:p>
        </w:tc>
        <w:tc>
          <w:tcPr>
            <w:tcW w:w="2310" w:type="dxa"/>
          </w:tcPr>
          <w:p w:rsidR="00816349" w:rsidRPr="00A66928" w:rsidRDefault="00816349" w:rsidP="008078E3">
            <w:pPr>
              <w:autoSpaceDE w:val="0"/>
              <w:autoSpaceDN w:val="0"/>
              <w:adjustRightInd w:val="0"/>
              <w:rPr>
                <w:rFonts w:cstheme="minorHAnsi"/>
                <w:color w:val="000000"/>
              </w:rPr>
            </w:pPr>
          </w:p>
        </w:tc>
        <w:tc>
          <w:tcPr>
            <w:tcW w:w="2311" w:type="dxa"/>
          </w:tcPr>
          <w:p w:rsidR="00816349" w:rsidRPr="00A66928" w:rsidRDefault="00816349" w:rsidP="008078E3">
            <w:pPr>
              <w:autoSpaceDE w:val="0"/>
              <w:autoSpaceDN w:val="0"/>
              <w:adjustRightInd w:val="0"/>
              <w:rPr>
                <w:rFonts w:cstheme="minorHAnsi"/>
                <w:color w:val="000000"/>
              </w:rPr>
            </w:pPr>
          </w:p>
        </w:tc>
        <w:tc>
          <w:tcPr>
            <w:tcW w:w="2311" w:type="dxa"/>
          </w:tcPr>
          <w:p w:rsidR="00816349" w:rsidRPr="00A66928" w:rsidRDefault="00816349" w:rsidP="008078E3">
            <w:pPr>
              <w:autoSpaceDE w:val="0"/>
              <w:autoSpaceDN w:val="0"/>
              <w:adjustRightInd w:val="0"/>
              <w:rPr>
                <w:rFonts w:cstheme="minorHAnsi"/>
                <w:color w:val="000000"/>
              </w:rPr>
            </w:pPr>
          </w:p>
        </w:tc>
      </w:tr>
      <w:tr w:rsidR="00816349" w:rsidTr="008078E3">
        <w:tc>
          <w:tcPr>
            <w:tcW w:w="2310" w:type="dxa"/>
          </w:tcPr>
          <w:p w:rsidR="00816349" w:rsidRPr="00A66928" w:rsidRDefault="00816349" w:rsidP="008078E3">
            <w:pPr>
              <w:autoSpaceDE w:val="0"/>
              <w:autoSpaceDN w:val="0"/>
              <w:adjustRightInd w:val="0"/>
              <w:rPr>
                <w:rFonts w:cstheme="minorHAnsi"/>
                <w:i/>
                <w:color w:val="000000"/>
              </w:rPr>
            </w:pPr>
            <w:r w:rsidRPr="00A66928">
              <w:rPr>
                <w:rFonts w:cstheme="minorHAnsi"/>
                <w:i/>
                <w:color w:val="000000"/>
              </w:rPr>
              <w:t>Benefit 3</w:t>
            </w:r>
          </w:p>
        </w:tc>
        <w:tc>
          <w:tcPr>
            <w:tcW w:w="2310" w:type="dxa"/>
          </w:tcPr>
          <w:p w:rsidR="00816349" w:rsidRPr="00A66928" w:rsidRDefault="00816349" w:rsidP="008078E3">
            <w:pPr>
              <w:autoSpaceDE w:val="0"/>
              <w:autoSpaceDN w:val="0"/>
              <w:adjustRightInd w:val="0"/>
              <w:rPr>
                <w:rFonts w:cstheme="minorHAnsi"/>
                <w:color w:val="000000"/>
              </w:rPr>
            </w:pPr>
          </w:p>
        </w:tc>
        <w:tc>
          <w:tcPr>
            <w:tcW w:w="2311" w:type="dxa"/>
          </w:tcPr>
          <w:p w:rsidR="00816349" w:rsidRPr="00A66928" w:rsidRDefault="00816349" w:rsidP="008078E3">
            <w:pPr>
              <w:autoSpaceDE w:val="0"/>
              <w:autoSpaceDN w:val="0"/>
              <w:adjustRightInd w:val="0"/>
              <w:rPr>
                <w:rFonts w:cstheme="minorHAnsi"/>
                <w:color w:val="000000"/>
              </w:rPr>
            </w:pPr>
          </w:p>
        </w:tc>
        <w:tc>
          <w:tcPr>
            <w:tcW w:w="2311" w:type="dxa"/>
          </w:tcPr>
          <w:p w:rsidR="00816349" w:rsidRPr="00A66928" w:rsidRDefault="00816349" w:rsidP="008078E3">
            <w:pPr>
              <w:autoSpaceDE w:val="0"/>
              <w:autoSpaceDN w:val="0"/>
              <w:adjustRightInd w:val="0"/>
              <w:rPr>
                <w:rFonts w:cstheme="minorHAnsi"/>
                <w:color w:val="000000"/>
              </w:rPr>
            </w:pPr>
          </w:p>
        </w:tc>
      </w:tr>
    </w:tbl>
    <w:p w:rsidR="008078E3" w:rsidRDefault="008078E3" w:rsidP="008078E3">
      <w:pPr>
        <w:autoSpaceDE w:val="0"/>
        <w:autoSpaceDN w:val="0"/>
        <w:adjustRightInd w:val="0"/>
        <w:spacing w:after="0" w:line="240" w:lineRule="auto"/>
        <w:rPr>
          <w:rFonts w:ascii="DIN" w:hAnsi="DIN" w:cs="DIN"/>
          <w:color w:val="000000"/>
          <w:sz w:val="16"/>
          <w:szCs w:val="16"/>
        </w:rPr>
      </w:pPr>
    </w:p>
    <w:p w:rsidR="008078E3" w:rsidRDefault="008078E3" w:rsidP="008078E3">
      <w:pPr>
        <w:autoSpaceDE w:val="0"/>
        <w:autoSpaceDN w:val="0"/>
        <w:adjustRightInd w:val="0"/>
        <w:spacing w:after="0" w:line="240" w:lineRule="auto"/>
        <w:rPr>
          <w:rFonts w:ascii="DIN" w:hAnsi="DIN" w:cs="DIN"/>
          <w:color w:val="000000"/>
          <w:sz w:val="16"/>
          <w:szCs w:val="16"/>
        </w:rPr>
      </w:pPr>
    </w:p>
    <w:p w:rsidR="008078E3" w:rsidRPr="00A66928" w:rsidRDefault="008078E3" w:rsidP="008078E3">
      <w:pPr>
        <w:autoSpaceDE w:val="0"/>
        <w:autoSpaceDN w:val="0"/>
        <w:adjustRightInd w:val="0"/>
        <w:spacing w:after="0" w:line="240" w:lineRule="auto"/>
        <w:rPr>
          <w:rFonts w:cstheme="minorHAnsi"/>
          <w:color w:val="000000"/>
        </w:rPr>
      </w:pPr>
      <w:r w:rsidRPr="00A66928">
        <w:rPr>
          <w:rFonts w:cstheme="minorHAnsi"/>
          <w:color w:val="000000"/>
        </w:rPr>
        <w:t>Comment/assess whether impacts on certain stakeholder groups may merit special consideration</w:t>
      </w:r>
    </w:p>
    <w:p w:rsidR="008078E3" w:rsidRPr="00A66928" w:rsidRDefault="008078E3" w:rsidP="008078E3">
      <w:pPr>
        <w:autoSpaceDE w:val="0"/>
        <w:autoSpaceDN w:val="0"/>
        <w:adjustRightInd w:val="0"/>
        <w:spacing w:after="0" w:line="240" w:lineRule="auto"/>
        <w:rPr>
          <w:rFonts w:cstheme="minorHAnsi"/>
          <w:color w:val="000000"/>
        </w:rPr>
      </w:pPr>
      <w:r w:rsidRPr="00A66928">
        <w:rPr>
          <w:rFonts w:cstheme="minorHAnsi"/>
          <w:color w:val="000000"/>
        </w:rPr>
        <w:t>(e.g. costs borne by low socio-economic groups).</w:t>
      </w:r>
    </w:p>
    <w:p w:rsidR="00A66928" w:rsidRPr="00A66928" w:rsidRDefault="00A66928" w:rsidP="008078E3">
      <w:pPr>
        <w:autoSpaceDE w:val="0"/>
        <w:autoSpaceDN w:val="0"/>
        <w:adjustRightInd w:val="0"/>
        <w:spacing w:after="0" w:line="240" w:lineRule="auto"/>
        <w:rPr>
          <w:rFonts w:cstheme="minorHAnsi"/>
          <w:color w:val="000000"/>
        </w:rPr>
      </w:pPr>
    </w:p>
    <w:p w:rsidR="008078E3" w:rsidRPr="00A66928" w:rsidRDefault="008078E3" w:rsidP="008078E3">
      <w:pPr>
        <w:autoSpaceDE w:val="0"/>
        <w:autoSpaceDN w:val="0"/>
        <w:adjustRightInd w:val="0"/>
        <w:spacing w:after="0" w:line="240" w:lineRule="auto"/>
        <w:rPr>
          <w:rFonts w:cstheme="minorHAnsi"/>
          <w:color w:val="000000"/>
        </w:rPr>
      </w:pPr>
      <w:r w:rsidRPr="00A66928">
        <w:rPr>
          <w:rFonts w:cstheme="minorHAnsi"/>
          <w:color w:val="000000"/>
        </w:rPr>
        <w:t>Further comment on whether distributional effects will likely cause political or other issues that</w:t>
      </w:r>
    </w:p>
    <w:p w:rsidR="008078E3" w:rsidRPr="00A66928" w:rsidRDefault="008078E3" w:rsidP="008078E3">
      <w:pPr>
        <w:autoSpaceDE w:val="0"/>
        <w:autoSpaceDN w:val="0"/>
        <w:adjustRightInd w:val="0"/>
        <w:spacing w:after="0" w:line="240" w:lineRule="auto"/>
        <w:rPr>
          <w:rFonts w:cstheme="minorHAnsi"/>
          <w:color w:val="000000"/>
        </w:rPr>
      </w:pPr>
      <w:r w:rsidRPr="00A66928">
        <w:rPr>
          <w:rFonts w:cstheme="minorHAnsi"/>
          <w:color w:val="000000"/>
        </w:rPr>
        <w:t>may threaten the successful implementation of the project, and could benefit from refinements</w:t>
      </w:r>
    </w:p>
    <w:p w:rsidR="00756F28" w:rsidRPr="00A66928" w:rsidRDefault="008078E3">
      <w:pPr>
        <w:rPr>
          <w:rFonts w:cstheme="minorHAnsi"/>
        </w:rPr>
      </w:pPr>
      <w:r w:rsidRPr="00A66928">
        <w:rPr>
          <w:rFonts w:cstheme="minorHAnsi"/>
          <w:color w:val="000000"/>
        </w:rPr>
        <w:t>to project design.</w:t>
      </w:r>
    </w:p>
    <w:p w:rsidR="003C58B9" w:rsidRDefault="006105B1" w:rsidP="00756F28">
      <w:pPr>
        <w:pStyle w:val="Heading2"/>
      </w:pPr>
      <w:r>
        <w:t xml:space="preserve">Concluding </w:t>
      </w:r>
      <w:r w:rsidR="00A66928">
        <w:t>R</w:t>
      </w:r>
      <w:r>
        <w:t xml:space="preserve">emarks and </w:t>
      </w:r>
      <w:r w:rsidR="003C58B9">
        <w:t>Recommendations</w:t>
      </w:r>
    </w:p>
    <w:p w:rsidR="006105B1" w:rsidRDefault="00A66928" w:rsidP="0052283F">
      <w:r>
        <w:t>This section should firstly c</w:t>
      </w:r>
      <w:r w:rsidR="006105B1">
        <w:t xml:space="preserve">omment on </w:t>
      </w:r>
      <w:r>
        <w:t xml:space="preserve">the </w:t>
      </w:r>
      <w:r w:rsidR="006105B1">
        <w:t>accuracy of analysis undertaken</w:t>
      </w:r>
      <w:r>
        <w:t xml:space="preserve"> and hence the level of confidence in the results</w:t>
      </w:r>
      <w:r w:rsidR="006105B1">
        <w:t xml:space="preserve">. </w:t>
      </w:r>
    </w:p>
    <w:p w:rsidR="006B3AAA" w:rsidRDefault="00A66928" w:rsidP="0052283F">
      <w:r>
        <w:t>With this in mind, this section should then m</w:t>
      </w:r>
      <w:r w:rsidR="008078E3">
        <w:t xml:space="preserve">ake recommendations </w:t>
      </w:r>
      <w:r w:rsidR="006B3AAA">
        <w:t xml:space="preserve">using the </w:t>
      </w:r>
      <w:r w:rsidR="0006242D">
        <w:t>results</w:t>
      </w:r>
      <w:r w:rsidR="006B3AAA">
        <w:t xml:space="preserve"> </w:t>
      </w:r>
      <w:r w:rsidR="0006242D">
        <w:t xml:space="preserve">and findings outlined </w:t>
      </w:r>
      <w:r w:rsidR="006B3AAA">
        <w:t xml:space="preserve">in sections 5 and 6. </w:t>
      </w:r>
    </w:p>
    <w:p w:rsidR="00A66928" w:rsidRDefault="006B3AAA" w:rsidP="0052283F">
      <w:r>
        <w:t>Recommendations shoul</w:t>
      </w:r>
      <w:r w:rsidR="008276EF">
        <w:t xml:space="preserve">d primarily be </w:t>
      </w:r>
      <w:r w:rsidR="008078E3">
        <w:t>about</w:t>
      </w:r>
      <w:r w:rsidR="00A66928">
        <w:t>:</w:t>
      </w:r>
      <w:r w:rsidR="008078E3">
        <w:t xml:space="preserve"> </w:t>
      </w:r>
    </w:p>
    <w:p w:rsidR="00A66928" w:rsidRDefault="00A66928" w:rsidP="00A66928">
      <w:pPr>
        <w:pStyle w:val="ListParagraph"/>
        <w:numPr>
          <w:ilvl w:val="0"/>
          <w:numId w:val="6"/>
        </w:numPr>
      </w:pPr>
      <w:r>
        <w:t xml:space="preserve">which option(s) should be implemented, if any; </w:t>
      </w:r>
    </w:p>
    <w:p w:rsidR="008276EF" w:rsidRDefault="008276EF" w:rsidP="00A66928">
      <w:pPr>
        <w:pStyle w:val="ListParagraph"/>
        <w:numPr>
          <w:ilvl w:val="0"/>
          <w:numId w:val="6"/>
        </w:numPr>
      </w:pPr>
      <w:r>
        <w:t xml:space="preserve">which options should </w:t>
      </w:r>
      <w:r w:rsidR="0006242D">
        <w:t xml:space="preserve">definitely </w:t>
      </w:r>
      <w:r>
        <w:t>not be progressed</w:t>
      </w:r>
      <w:r w:rsidR="0006242D">
        <w:t xml:space="preserve"> further</w:t>
      </w:r>
      <w:r>
        <w:t xml:space="preserve">; and </w:t>
      </w:r>
    </w:p>
    <w:p w:rsidR="0052283F" w:rsidRDefault="00A66928" w:rsidP="00A66928">
      <w:pPr>
        <w:pStyle w:val="ListParagraph"/>
        <w:numPr>
          <w:ilvl w:val="0"/>
          <w:numId w:val="6"/>
        </w:numPr>
      </w:pPr>
      <w:r>
        <w:t>whether any further research and analysis is warranted</w:t>
      </w:r>
      <w:r w:rsidR="008276EF">
        <w:t xml:space="preserve"> </w:t>
      </w:r>
      <w:r w:rsidR="0006242D">
        <w:t>to assist with decision-making (taking into account the size of the investment, the cost of undertaking further research and analysis, and</w:t>
      </w:r>
      <w:r w:rsidR="000F1E3C">
        <w:t xml:space="preserve"> other factors</w:t>
      </w:r>
      <w:r w:rsidR="0006242D">
        <w:t>)</w:t>
      </w:r>
      <w:r>
        <w:t xml:space="preserve">.  </w:t>
      </w:r>
    </w:p>
    <w:p w:rsidR="00A15E88" w:rsidRDefault="00A15E88" w:rsidP="00A15E88">
      <w:pPr>
        <w:pStyle w:val="Heading2"/>
      </w:pPr>
      <w:r>
        <w:t>References</w:t>
      </w:r>
    </w:p>
    <w:p w:rsidR="00A66928" w:rsidRDefault="00A15E88" w:rsidP="00A15E88">
      <w:r>
        <w:t xml:space="preserve">List full references for studies, surveys, and reports used in the report. </w:t>
      </w:r>
      <w:r w:rsidR="00A66928">
        <w:br w:type="page"/>
      </w:r>
    </w:p>
    <w:p w:rsidR="000F1E3C" w:rsidRDefault="00A66928" w:rsidP="00F17C28">
      <w:pPr>
        <w:pStyle w:val="Heading2"/>
      </w:pPr>
      <w:r>
        <w:lastRenderedPageBreak/>
        <w:t>Annex A: Example Preliminary CBA Report</w:t>
      </w:r>
      <w:r w:rsidR="00F17C28">
        <w:t xml:space="preserve"> </w:t>
      </w:r>
      <w:r w:rsidR="00693793">
        <w:t xml:space="preserve">adapted from CBA study </w:t>
      </w:r>
      <w:r w:rsidR="00F17C28">
        <w:t>from Republic of Marshall Islands</w:t>
      </w:r>
      <w:r w:rsidR="00F17C28">
        <w:rPr>
          <w:rStyle w:val="FootnoteReference"/>
        </w:rPr>
        <w:footnoteReference w:id="2"/>
      </w:r>
    </w:p>
    <w:p w:rsidR="00F17C28" w:rsidRDefault="00937DBB" w:rsidP="000F1E3C">
      <w:r>
        <w:t xml:space="preserve">This </w:t>
      </w:r>
      <w:r w:rsidR="0023404B">
        <w:t xml:space="preserve">example is an adaptation of a CBA study from the Republic of Marshall Islands. </w:t>
      </w:r>
      <w:r w:rsidR="0023404B" w:rsidRPr="00D51C29">
        <w:rPr>
          <w:b/>
        </w:rPr>
        <w:t xml:space="preserve">It </w:t>
      </w:r>
      <w:r w:rsidR="002953C8" w:rsidRPr="00D51C29">
        <w:rPr>
          <w:b/>
        </w:rPr>
        <w:t>has been simplified for the purposes of this illustration</w:t>
      </w:r>
      <w:r w:rsidRPr="00D51C29">
        <w:rPr>
          <w:b/>
        </w:rPr>
        <w:t>.</w:t>
      </w:r>
      <w:r>
        <w:t xml:space="preserve"> </w:t>
      </w:r>
    </w:p>
    <w:p w:rsidR="00F17C28" w:rsidRPr="00415A2B" w:rsidRDefault="00F17C28" w:rsidP="000C6EB7">
      <w:pPr>
        <w:rPr>
          <w:u w:val="double"/>
        </w:rPr>
      </w:pPr>
      <w:r w:rsidRPr="00415A2B">
        <w:rPr>
          <w:u w:val="double"/>
        </w:rPr>
        <w:t>TITLE: ADDRESSING WATER S</w:t>
      </w:r>
      <w:r w:rsidR="007747B1">
        <w:rPr>
          <w:u w:val="double"/>
        </w:rPr>
        <w:t>HORTAGES</w:t>
      </w:r>
      <w:r w:rsidRPr="00415A2B">
        <w:rPr>
          <w:u w:val="double"/>
        </w:rPr>
        <w:t xml:space="preserve"> IN MAJURO</w:t>
      </w:r>
    </w:p>
    <w:p w:rsidR="00F17C28" w:rsidRDefault="00F17C28" w:rsidP="000C6EB7">
      <w:pPr>
        <w:rPr>
          <w:u w:val="single"/>
        </w:rPr>
      </w:pPr>
      <w:r w:rsidRPr="00F17C28">
        <w:rPr>
          <w:u w:val="single"/>
        </w:rPr>
        <w:t>1. Problem Statement</w:t>
      </w:r>
    </w:p>
    <w:p w:rsidR="00F17C28" w:rsidRPr="00415A2B" w:rsidRDefault="00F17C28" w:rsidP="000C6EB7">
      <w:pPr>
        <w:autoSpaceDE w:val="0"/>
        <w:autoSpaceDN w:val="0"/>
        <w:adjustRightInd w:val="0"/>
        <w:rPr>
          <w:rFonts w:cstheme="minorHAnsi"/>
        </w:rPr>
      </w:pPr>
      <w:r w:rsidRPr="00415A2B">
        <w:rPr>
          <w:rFonts w:cstheme="minorHAnsi"/>
        </w:rPr>
        <w:t>Water supply to households in the Rairok and DUD area of Majuro is provided from a mix of public (operated by Majuro Water &amp; Sewer Company (MWSC)) and private (household rainwater tanks) systems. MWSC’s main source of this supply is the airport catchment. Water collected from this source is stored in reservoirs, treated using sand filtration and chlorination, and then pumped to the Rairok and DUD area via a 16 km distribution pipe.</w:t>
      </w:r>
    </w:p>
    <w:p w:rsidR="00415A2B" w:rsidRPr="00415A2B" w:rsidRDefault="00F17C28" w:rsidP="000C6EB7">
      <w:pPr>
        <w:autoSpaceDE w:val="0"/>
        <w:autoSpaceDN w:val="0"/>
        <w:adjustRightInd w:val="0"/>
        <w:rPr>
          <w:rFonts w:cstheme="minorHAnsi"/>
        </w:rPr>
      </w:pPr>
      <w:r w:rsidRPr="00415A2B">
        <w:rPr>
          <w:rFonts w:cstheme="minorHAnsi"/>
        </w:rPr>
        <w:t>Water supply (both from the public water supply system as well as private rainwater tanks) in DUD Rairok is considered to be inadequate to meet community needs. While data gaps prevent precise quantification, conservative estimates of current supply and demand (of 150 litres per household per day</w:t>
      </w:r>
      <w:r w:rsidR="00A15E88">
        <w:rPr>
          <w:rStyle w:val="FootnoteReference"/>
          <w:rFonts w:cstheme="minorHAnsi"/>
        </w:rPr>
        <w:footnoteReference w:id="3"/>
      </w:r>
      <w:r w:rsidRPr="00415A2B">
        <w:rPr>
          <w:rFonts w:cstheme="minorHAnsi"/>
        </w:rPr>
        <w:t>) indicate there is a shortfall in supply of at least 253,000 m3 per year during normal rainfall years (rainfall is 3.3 metres per year;</w:t>
      </w:r>
      <w:r w:rsidR="00415A2B" w:rsidRPr="00415A2B">
        <w:rPr>
          <w:rFonts w:cstheme="minorHAnsi"/>
        </w:rPr>
        <w:t xml:space="preserve"> </w:t>
      </w:r>
      <w:r w:rsidRPr="00415A2B">
        <w:rPr>
          <w:rFonts w:cstheme="minorHAnsi"/>
        </w:rPr>
        <w:t>SOPAC, 2007). During drought years, the water scarcity problem is much more significant. Optimistic estimates</w:t>
      </w:r>
      <w:r w:rsidR="00415A2B" w:rsidRPr="00415A2B">
        <w:rPr>
          <w:rFonts w:cstheme="minorHAnsi"/>
        </w:rPr>
        <w:t xml:space="preserve"> </w:t>
      </w:r>
      <w:r w:rsidRPr="00415A2B">
        <w:rPr>
          <w:rFonts w:cstheme="minorHAnsi"/>
        </w:rPr>
        <w:t>(assuming all existing storage capacity is available and is operating at 100% efficiency) suggest there is sufficient</w:t>
      </w:r>
      <w:r w:rsidR="00415A2B" w:rsidRPr="00415A2B">
        <w:rPr>
          <w:rFonts w:cstheme="minorHAnsi"/>
        </w:rPr>
        <w:t xml:space="preserve"> </w:t>
      </w:r>
      <w:r w:rsidRPr="00415A2B">
        <w:rPr>
          <w:rFonts w:cstheme="minorHAnsi"/>
        </w:rPr>
        <w:t>water storage to meet about 47 days of demand. This would be enough to get the area through most historical</w:t>
      </w:r>
      <w:r w:rsidR="00415A2B" w:rsidRPr="00415A2B">
        <w:rPr>
          <w:rFonts w:cstheme="minorHAnsi"/>
        </w:rPr>
        <w:t xml:space="preserve"> </w:t>
      </w:r>
      <w:r w:rsidRPr="00415A2B">
        <w:rPr>
          <w:rFonts w:cstheme="minorHAnsi"/>
        </w:rPr>
        <w:t>drought periods. More realistic estimates (including the assumption that distribution system losses cause 50%</w:t>
      </w:r>
      <w:r w:rsidR="00415A2B" w:rsidRPr="00415A2B">
        <w:rPr>
          <w:rFonts w:cstheme="minorHAnsi"/>
        </w:rPr>
        <w:t xml:space="preserve"> </w:t>
      </w:r>
      <w:r w:rsidR="001B66BF">
        <w:rPr>
          <w:rFonts w:cstheme="minorHAnsi"/>
        </w:rPr>
        <w:t>inefficiency in public system</w:t>
      </w:r>
      <w:r w:rsidRPr="00415A2B">
        <w:rPr>
          <w:rFonts w:cstheme="minorHAnsi"/>
        </w:rPr>
        <w:t>) indicate there is more like 28 days of water on hand.</w:t>
      </w:r>
    </w:p>
    <w:p w:rsidR="00415A2B" w:rsidRPr="00415A2B" w:rsidRDefault="00F17C28" w:rsidP="000C6EB7">
      <w:pPr>
        <w:autoSpaceDE w:val="0"/>
        <w:autoSpaceDN w:val="0"/>
        <w:adjustRightInd w:val="0"/>
        <w:rPr>
          <w:rFonts w:cstheme="minorHAnsi"/>
        </w:rPr>
      </w:pPr>
      <w:r w:rsidRPr="00415A2B">
        <w:rPr>
          <w:rFonts w:cstheme="minorHAnsi"/>
        </w:rPr>
        <w:t>A survey undertaken by the Marshall Islands Economic Policy, Planning and Statistics Office (2010), reported that</w:t>
      </w:r>
      <w:r w:rsidR="00415A2B" w:rsidRPr="00415A2B">
        <w:rPr>
          <w:rFonts w:cstheme="minorHAnsi"/>
        </w:rPr>
        <w:t xml:space="preserve"> </w:t>
      </w:r>
      <w:r w:rsidRPr="00415A2B">
        <w:rPr>
          <w:rFonts w:cstheme="minorHAnsi"/>
        </w:rPr>
        <w:t>nearly half of households say they face water scarcity “often” and 42% reported “sometimes”. Water shortages have</w:t>
      </w:r>
      <w:r w:rsidR="00415A2B" w:rsidRPr="00415A2B">
        <w:rPr>
          <w:rFonts w:cstheme="minorHAnsi"/>
        </w:rPr>
        <w:t xml:space="preserve"> </w:t>
      </w:r>
      <w:r w:rsidRPr="00415A2B">
        <w:rPr>
          <w:rFonts w:cstheme="minorHAnsi"/>
        </w:rPr>
        <w:t>been blamed for increased incidents of gastroenteritis, pink eye, and even a typhoid outbreak (EPPSO, 2010).</w:t>
      </w:r>
    </w:p>
    <w:p w:rsidR="00415A2B" w:rsidRPr="00415A2B" w:rsidRDefault="00415A2B" w:rsidP="000C6EB7">
      <w:pPr>
        <w:autoSpaceDE w:val="0"/>
        <w:autoSpaceDN w:val="0"/>
        <w:adjustRightInd w:val="0"/>
        <w:rPr>
          <w:rFonts w:cstheme="minorHAnsi"/>
          <w:i/>
        </w:rPr>
      </w:pPr>
      <w:r w:rsidRPr="00415A2B">
        <w:rPr>
          <w:rFonts w:cstheme="minorHAnsi"/>
          <w:i/>
        </w:rPr>
        <w:t>Causes and drivers of the problem</w:t>
      </w:r>
    </w:p>
    <w:p w:rsidR="00415A2B" w:rsidRPr="00415A2B" w:rsidRDefault="00415A2B" w:rsidP="000C6EB7">
      <w:pPr>
        <w:autoSpaceDE w:val="0"/>
        <w:autoSpaceDN w:val="0"/>
        <w:adjustRightInd w:val="0"/>
        <w:rPr>
          <w:rFonts w:eastAsia="MinionPro-Regular" w:cstheme="minorHAnsi"/>
        </w:rPr>
      </w:pPr>
      <w:r w:rsidRPr="00415A2B">
        <w:rPr>
          <w:rFonts w:cstheme="minorHAnsi"/>
        </w:rPr>
        <w:t xml:space="preserve">Some of the key causes and drivers of the water </w:t>
      </w:r>
      <w:r w:rsidR="007747B1">
        <w:rPr>
          <w:rFonts w:cstheme="minorHAnsi"/>
        </w:rPr>
        <w:t>shortage</w:t>
      </w:r>
      <w:r w:rsidRPr="00415A2B">
        <w:rPr>
          <w:rFonts w:cstheme="minorHAnsi"/>
        </w:rPr>
        <w:t xml:space="preserve"> problem are:</w:t>
      </w:r>
    </w:p>
    <w:p w:rsidR="00415A2B" w:rsidRPr="00415A2B" w:rsidRDefault="00415A2B" w:rsidP="000C6EB7">
      <w:pPr>
        <w:pStyle w:val="ListParagraph"/>
        <w:numPr>
          <w:ilvl w:val="0"/>
          <w:numId w:val="7"/>
        </w:numPr>
        <w:autoSpaceDE w:val="0"/>
        <w:autoSpaceDN w:val="0"/>
        <w:adjustRightInd w:val="0"/>
        <w:rPr>
          <w:rFonts w:cstheme="minorHAnsi"/>
        </w:rPr>
      </w:pPr>
      <w:r w:rsidRPr="00415A2B">
        <w:rPr>
          <w:rFonts w:cstheme="minorHAnsi"/>
        </w:rPr>
        <w:t xml:space="preserve">inadequate pricing and charging </w:t>
      </w:r>
      <w:r w:rsidR="007B6AF1">
        <w:rPr>
          <w:rFonts w:cstheme="minorHAnsi"/>
        </w:rPr>
        <w:t xml:space="preserve">for public water supply services </w:t>
      </w:r>
      <w:r w:rsidRPr="00415A2B">
        <w:rPr>
          <w:rFonts w:cstheme="minorHAnsi"/>
        </w:rPr>
        <w:t>(SOPAC, 2007b; USAID, 2009)</w:t>
      </w:r>
      <w:r w:rsidR="007B6AF1">
        <w:rPr>
          <w:rFonts w:cstheme="minorHAnsi"/>
        </w:rPr>
        <w:t xml:space="preserve">, which </w:t>
      </w:r>
      <w:r w:rsidR="00CD0E38">
        <w:rPr>
          <w:rFonts w:cstheme="minorHAnsi"/>
        </w:rPr>
        <w:t>in turn means there is inadequate</w:t>
      </w:r>
      <w:r w:rsidR="007B6AF1" w:rsidRPr="00415A2B">
        <w:rPr>
          <w:rFonts w:cstheme="minorHAnsi"/>
        </w:rPr>
        <w:t xml:space="preserve"> </w:t>
      </w:r>
      <w:r w:rsidR="007B6AF1">
        <w:rPr>
          <w:rFonts w:cstheme="minorHAnsi"/>
        </w:rPr>
        <w:t>(</w:t>
      </w:r>
      <w:r w:rsidR="007B6AF1" w:rsidRPr="00415A2B">
        <w:rPr>
          <w:rFonts w:cstheme="minorHAnsi"/>
        </w:rPr>
        <w:t>financial</w:t>
      </w:r>
      <w:r w:rsidR="007B6AF1">
        <w:rPr>
          <w:rFonts w:cstheme="minorHAnsi"/>
        </w:rPr>
        <w:t>)</w:t>
      </w:r>
      <w:r w:rsidR="007B6AF1" w:rsidRPr="00415A2B">
        <w:rPr>
          <w:rFonts w:cstheme="minorHAnsi"/>
        </w:rPr>
        <w:t xml:space="preserve"> incentives for </w:t>
      </w:r>
      <w:r w:rsidR="00CD0E38">
        <w:rPr>
          <w:rFonts w:cstheme="minorHAnsi"/>
        </w:rPr>
        <w:t xml:space="preserve">households to </w:t>
      </w:r>
      <w:r w:rsidR="00A15E88">
        <w:rPr>
          <w:rFonts w:cstheme="minorHAnsi"/>
        </w:rPr>
        <w:t xml:space="preserve">properly </w:t>
      </w:r>
      <w:r w:rsidRPr="00415A2B">
        <w:rPr>
          <w:rFonts w:cstheme="minorHAnsi"/>
        </w:rPr>
        <w:t>manag</w:t>
      </w:r>
      <w:r w:rsidR="00A62C1C">
        <w:rPr>
          <w:rFonts w:cstheme="minorHAnsi"/>
        </w:rPr>
        <w:t>e their</w:t>
      </w:r>
      <w:r w:rsidRPr="00415A2B">
        <w:rPr>
          <w:rFonts w:cstheme="minorHAnsi"/>
        </w:rPr>
        <w:t xml:space="preserve"> </w:t>
      </w:r>
      <w:r w:rsidR="00CD0E38">
        <w:rPr>
          <w:rFonts w:cstheme="minorHAnsi"/>
        </w:rPr>
        <w:t xml:space="preserve">water </w:t>
      </w:r>
      <w:r w:rsidR="007B6AF1">
        <w:rPr>
          <w:rFonts w:cstheme="minorHAnsi"/>
        </w:rPr>
        <w:t>us</w:t>
      </w:r>
      <w:r w:rsidR="00CD0E38">
        <w:rPr>
          <w:rFonts w:cstheme="minorHAnsi"/>
        </w:rPr>
        <w:t>e</w:t>
      </w:r>
      <w:r w:rsidRPr="00415A2B">
        <w:rPr>
          <w:rFonts w:cstheme="minorHAnsi"/>
        </w:rPr>
        <w:t>;</w:t>
      </w:r>
    </w:p>
    <w:p w:rsidR="00415A2B" w:rsidRPr="00415A2B" w:rsidRDefault="00415A2B" w:rsidP="000C6EB7">
      <w:pPr>
        <w:pStyle w:val="ListParagraph"/>
        <w:numPr>
          <w:ilvl w:val="0"/>
          <w:numId w:val="7"/>
        </w:numPr>
        <w:autoSpaceDE w:val="0"/>
        <w:autoSpaceDN w:val="0"/>
        <w:adjustRightInd w:val="0"/>
        <w:rPr>
          <w:rFonts w:cstheme="minorHAnsi"/>
        </w:rPr>
      </w:pPr>
      <w:r w:rsidRPr="00415A2B">
        <w:rPr>
          <w:rFonts w:cstheme="minorHAnsi"/>
        </w:rPr>
        <w:t>lack of public awareness (SOPAC, 2007b; USAID, 2009) of water scarcity issues</w:t>
      </w:r>
      <w:r w:rsidR="007B6AF1">
        <w:rPr>
          <w:rFonts w:cstheme="minorHAnsi"/>
        </w:rPr>
        <w:t>, health-related water issues,</w:t>
      </w:r>
      <w:r w:rsidRPr="00415A2B">
        <w:rPr>
          <w:rFonts w:cstheme="minorHAnsi"/>
        </w:rPr>
        <w:t xml:space="preserve"> and how best to manage water </w:t>
      </w:r>
      <w:r w:rsidR="001B66BF">
        <w:rPr>
          <w:rFonts w:cstheme="minorHAnsi"/>
        </w:rPr>
        <w:t>use</w:t>
      </w:r>
      <w:r w:rsidRPr="00415A2B">
        <w:rPr>
          <w:rFonts w:cstheme="minorHAnsi"/>
        </w:rPr>
        <w:t>;</w:t>
      </w:r>
    </w:p>
    <w:p w:rsidR="00CD0E38" w:rsidRDefault="00415A2B" w:rsidP="000C6EB7">
      <w:pPr>
        <w:pStyle w:val="ListParagraph"/>
        <w:numPr>
          <w:ilvl w:val="0"/>
          <w:numId w:val="7"/>
        </w:numPr>
        <w:autoSpaceDE w:val="0"/>
        <w:autoSpaceDN w:val="0"/>
        <w:adjustRightInd w:val="0"/>
        <w:rPr>
          <w:rFonts w:cstheme="minorHAnsi"/>
        </w:rPr>
      </w:pPr>
      <w:r w:rsidRPr="00415A2B">
        <w:rPr>
          <w:rFonts w:cstheme="minorHAnsi"/>
        </w:rPr>
        <w:t xml:space="preserve">inadequate regulation of MWSC </w:t>
      </w:r>
      <w:r w:rsidR="001B66BF">
        <w:rPr>
          <w:rFonts w:cstheme="minorHAnsi"/>
        </w:rPr>
        <w:t xml:space="preserve">(monopoly water service provider) </w:t>
      </w:r>
      <w:r w:rsidRPr="00415A2B">
        <w:rPr>
          <w:rFonts w:cstheme="minorHAnsi"/>
        </w:rPr>
        <w:t xml:space="preserve">to provide efficient public water supply services; </w:t>
      </w:r>
    </w:p>
    <w:p w:rsidR="00415A2B" w:rsidRPr="00415A2B" w:rsidRDefault="00CD0E38" w:rsidP="000C6EB7">
      <w:pPr>
        <w:pStyle w:val="ListParagraph"/>
        <w:numPr>
          <w:ilvl w:val="0"/>
          <w:numId w:val="7"/>
        </w:numPr>
        <w:autoSpaceDE w:val="0"/>
        <w:autoSpaceDN w:val="0"/>
        <w:adjustRightInd w:val="0"/>
        <w:rPr>
          <w:rFonts w:cstheme="minorHAnsi"/>
        </w:rPr>
      </w:pPr>
      <w:r>
        <w:rPr>
          <w:rFonts w:cstheme="minorHAnsi"/>
        </w:rPr>
        <w:t xml:space="preserve">lack of capacity within MWSC (SOPAC, 2007b); </w:t>
      </w:r>
      <w:r w:rsidR="00415A2B" w:rsidRPr="00415A2B">
        <w:rPr>
          <w:rFonts w:cstheme="minorHAnsi"/>
        </w:rPr>
        <w:t>and</w:t>
      </w:r>
    </w:p>
    <w:p w:rsidR="00415A2B" w:rsidRPr="00415A2B" w:rsidRDefault="00415A2B" w:rsidP="000C6EB7">
      <w:pPr>
        <w:pStyle w:val="ListParagraph"/>
        <w:numPr>
          <w:ilvl w:val="0"/>
          <w:numId w:val="7"/>
        </w:numPr>
        <w:autoSpaceDE w:val="0"/>
        <w:autoSpaceDN w:val="0"/>
        <w:adjustRightInd w:val="0"/>
        <w:rPr>
          <w:rFonts w:cstheme="minorHAnsi"/>
        </w:rPr>
      </w:pPr>
      <w:r w:rsidRPr="00415A2B">
        <w:rPr>
          <w:rFonts w:cstheme="minorHAnsi"/>
        </w:rPr>
        <w:lastRenderedPageBreak/>
        <w:t>rural–urban migration and population growth at Majuro which is increasing demands for water.</w:t>
      </w:r>
    </w:p>
    <w:p w:rsidR="00415A2B" w:rsidRPr="00415A2B" w:rsidRDefault="00415A2B" w:rsidP="000C6EB7">
      <w:pPr>
        <w:pStyle w:val="ListParagraph"/>
        <w:autoSpaceDE w:val="0"/>
        <w:autoSpaceDN w:val="0"/>
        <w:adjustRightInd w:val="0"/>
        <w:rPr>
          <w:rFonts w:cstheme="minorHAnsi"/>
        </w:rPr>
      </w:pPr>
    </w:p>
    <w:p w:rsidR="00415A2B" w:rsidRPr="00415A2B" w:rsidRDefault="00415A2B" w:rsidP="000C6EB7">
      <w:pPr>
        <w:pStyle w:val="ListParagraph"/>
        <w:autoSpaceDE w:val="0"/>
        <w:autoSpaceDN w:val="0"/>
        <w:adjustRightInd w:val="0"/>
        <w:ind w:left="0"/>
        <w:rPr>
          <w:rFonts w:cstheme="minorHAnsi"/>
        </w:rPr>
      </w:pPr>
      <w:r w:rsidRPr="00415A2B">
        <w:rPr>
          <w:rFonts w:cstheme="minorHAnsi"/>
        </w:rPr>
        <w:t>Climate change may also contribute to the Majuro water scarcity problem in the future through a number of potential effects.</w:t>
      </w:r>
    </w:p>
    <w:p w:rsidR="00415A2B" w:rsidRPr="00415A2B" w:rsidRDefault="00415A2B" w:rsidP="000C6EB7">
      <w:pPr>
        <w:pStyle w:val="ListParagraph"/>
        <w:numPr>
          <w:ilvl w:val="0"/>
          <w:numId w:val="8"/>
        </w:numPr>
        <w:autoSpaceDE w:val="0"/>
        <w:autoSpaceDN w:val="0"/>
        <w:adjustRightInd w:val="0"/>
        <w:rPr>
          <w:rFonts w:cstheme="minorHAnsi"/>
        </w:rPr>
      </w:pPr>
      <w:r w:rsidRPr="00415A2B">
        <w:rPr>
          <w:rFonts w:cstheme="minorHAnsi"/>
          <w:i/>
          <w:iCs/>
        </w:rPr>
        <w:t xml:space="preserve">Extreme tide events. </w:t>
      </w:r>
      <w:r w:rsidRPr="00415A2B">
        <w:rPr>
          <w:rFonts w:cstheme="minorHAnsi"/>
        </w:rPr>
        <w:t>Saltwater incursion into airport catchment and reservoirs (as well as the pump stations and treatment plant) associated with extreme sea level/high tide events degrades infrastructure and water quality and thus reduce</w:t>
      </w:r>
      <w:r w:rsidR="001B66BF">
        <w:rPr>
          <w:rFonts w:cstheme="minorHAnsi"/>
        </w:rPr>
        <w:t>s yields (ADB, 2011). The PCCSP </w:t>
      </w:r>
      <w:r w:rsidRPr="00415A2B">
        <w:rPr>
          <w:rFonts w:cstheme="minorHAnsi"/>
        </w:rPr>
        <w:t>(2011) projects with “very high confidence” that sea level rise near RMI will increase by between 5 and 15 cm by 2030 under medium and high emission scenarios. This in turn is expected to contribute to increased frequency and extent of inundation events.</w:t>
      </w:r>
    </w:p>
    <w:p w:rsidR="001B66BF" w:rsidRPr="000C6EB7" w:rsidRDefault="00415A2B" w:rsidP="000C6EB7">
      <w:pPr>
        <w:pStyle w:val="ListParagraph"/>
        <w:numPr>
          <w:ilvl w:val="0"/>
          <w:numId w:val="8"/>
        </w:numPr>
        <w:autoSpaceDE w:val="0"/>
        <w:autoSpaceDN w:val="0"/>
        <w:adjustRightInd w:val="0"/>
        <w:rPr>
          <w:rFonts w:cstheme="minorHAnsi"/>
        </w:rPr>
      </w:pPr>
      <w:r w:rsidRPr="00415A2B">
        <w:rPr>
          <w:rFonts w:cstheme="minorHAnsi"/>
          <w:i/>
          <w:iCs/>
        </w:rPr>
        <w:t xml:space="preserve">Changing rainfall patterns and drought events. </w:t>
      </w:r>
      <w:r w:rsidRPr="00415A2B">
        <w:rPr>
          <w:rFonts w:cstheme="minorHAnsi"/>
        </w:rPr>
        <w:t>Changing rainfall patterns and drought events may also impact on water availability in Majuro, though best-available modelling suggests that future changes are most likely be in the positive direction. The PCCSP (2011) predicts that the most likely future rainfall and drought scenarios in RMI through to 2030 will be no or little change. After 2030, PCCSP reports with “moderate confidence” that dry-season rainfall will increase by greater than 15% and the frequency of drought events will decline.</w:t>
      </w:r>
    </w:p>
    <w:p w:rsidR="00F17C28" w:rsidRPr="0075248B" w:rsidRDefault="00F17C28" w:rsidP="000C6EB7">
      <w:pPr>
        <w:rPr>
          <w:u w:val="single"/>
        </w:rPr>
      </w:pPr>
      <w:r w:rsidRPr="0075248B">
        <w:rPr>
          <w:u w:val="single"/>
        </w:rPr>
        <w:t>2. Objective of the project</w:t>
      </w:r>
    </w:p>
    <w:p w:rsidR="007B0FDD" w:rsidRDefault="001B66BF" w:rsidP="000C6EB7">
      <w:pPr>
        <w:autoSpaceDE w:val="0"/>
        <w:autoSpaceDN w:val="0"/>
        <w:adjustRightInd w:val="0"/>
        <w:rPr>
          <w:rFonts w:cstheme="minorHAnsi"/>
        </w:rPr>
      </w:pPr>
      <w:r>
        <w:rPr>
          <w:rFonts w:cstheme="minorHAnsi"/>
        </w:rPr>
        <w:t xml:space="preserve">The primary objective of the project is to increase </w:t>
      </w:r>
      <w:r w:rsidR="007B0FDD">
        <w:rPr>
          <w:rFonts w:cstheme="minorHAnsi"/>
        </w:rPr>
        <w:t xml:space="preserve">efficiencies of the existing public </w:t>
      </w:r>
      <w:r>
        <w:rPr>
          <w:rFonts w:cstheme="minorHAnsi"/>
        </w:rPr>
        <w:t xml:space="preserve">water supply </w:t>
      </w:r>
      <w:r w:rsidR="007B0FDD">
        <w:rPr>
          <w:rFonts w:cstheme="minorHAnsi"/>
        </w:rPr>
        <w:t xml:space="preserve">system. </w:t>
      </w:r>
    </w:p>
    <w:p w:rsidR="001B66BF" w:rsidRDefault="001B66BF" w:rsidP="000C6EB7">
      <w:pPr>
        <w:autoSpaceDE w:val="0"/>
        <w:autoSpaceDN w:val="0"/>
        <w:adjustRightInd w:val="0"/>
        <w:rPr>
          <w:rFonts w:cstheme="minorHAnsi"/>
        </w:rPr>
      </w:pPr>
      <w:r>
        <w:rPr>
          <w:rFonts w:cstheme="minorHAnsi"/>
        </w:rPr>
        <w:t xml:space="preserve">A secondary objective is to </w:t>
      </w:r>
      <w:r w:rsidR="0075248B">
        <w:rPr>
          <w:rFonts w:cstheme="minorHAnsi"/>
        </w:rPr>
        <w:t xml:space="preserve">reduce risks of water supply </w:t>
      </w:r>
      <w:r w:rsidR="00A15E88">
        <w:rPr>
          <w:rFonts w:cstheme="minorHAnsi"/>
        </w:rPr>
        <w:t>disruptions</w:t>
      </w:r>
      <w:r w:rsidR="0075248B">
        <w:rPr>
          <w:rFonts w:cstheme="minorHAnsi"/>
        </w:rPr>
        <w:t xml:space="preserve"> associated with extreme tide events and drought. </w:t>
      </w:r>
    </w:p>
    <w:p w:rsidR="00F17C28" w:rsidRPr="00A15E88" w:rsidRDefault="00F17C28" w:rsidP="00A15E88">
      <w:pPr>
        <w:rPr>
          <w:u w:val="single"/>
        </w:rPr>
      </w:pPr>
      <w:r w:rsidRPr="00A15E88">
        <w:rPr>
          <w:u w:val="single"/>
        </w:rPr>
        <w:t>3. Options</w:t>
      </w:r>
    </w:p>
    <w:p w:rsidR="001B66BF" w:rsidRDefault="005868BA" w:rsidP="00A15E88">
      <w:r>
        <w:t>Three</w:t>
      </w:r>
      <w:r w:rsidR="001B66BF">
        <w:t xml:space="preserve"> options to </w:t>
      </w:r>
      <w:r w:rsidR="00A15E88">
        <w:t>increase</w:t>
      </w:r>
      <w:r w:rsidR="007B0FDD">
        <w:t xml:space="preserve"> efficiencies</w:t>
      </w:r>
      <w:r w:rsidR="00A15E88">
        <w:t xml:space="preserve"> </w:t>
      </w:r>
      <w:r w:rsidR="001B66BF">
        <w:t>were identified, drawing on previous work and suggestions from the ADB (2011) and USAID (2009). These options were:</w:t>
      </w:r>
    </w:p>
    <w:p w:rsidR="001B66BF" w:rsidRDefault="001B66BF" w:rsidP="000C6EB7">
      <w:pPr>
        <w:pStyle w:val="ListParagraph"/>
        <w:numPr>
          <w:ilvl w:val="0"/>
          <w:numId w:val="11"/>
        </w:numPr>
      </w:pPr>
      <w:r>
        <w:t xml:space="preserve">Reline </w:t>
      </w:r>
      <w:r w:rsidR="00A15E88">
        <w:t xml:space="preserve">airport </w:t>
      </w:r>
      <w:r>
        <w:t>storage reservoir</w:t>
      </w:r>
      <w:r w:rsidR="00A15E88">
        <w:t xml:space="preserve"> (to reduces losses at this facility)</w:t>
      </w:r>
      <w:r w:rsidR="00C073C3">
        <w:t>;</w:t>
      </w:r>
    </w:p>
    <w:p w:rsidR="001B66BF" w:rsidRDefault="001B66BF" w:rsidP="000C6EB7">
      <w:pPr>
        <w:pStyle w:val="ListParagraph"/>
        <w:numPr>
          <w:ilvl w:val="0"/>
          <w:numId w:val="11"/>
        </w:numPr>
      </w:pPr>
      <w:r>
        <w:t xml:space="preserve">Install evaporation cover on </w:t>
      </w:r>
      <w:r w:rsidR="00A15E88">
        <w:t xml:space="preserve">airport </w:t>
      </w:r>
      <w:r>
        <w:t>storage reservoir</w:t>
      </w:r>
      <w:r w:rsidR="00A15E88">
        <w:t xml:space="preserve"> (to reduces losses at this facility)</w:t>
      </w:r>
      <w:r w:rsidR="00C073C3">
        <w:t>;</w:t>
      </w:r>
      <w:r w:rsidR="005868BA">
        <w:t xml:space="preserve"> and</w:t>
      </w:r>
    </w:p>
    <w:p w:rsidR="00F17C28" w:rsidRPr="001B66BF" w:rsidRDefault="001B66BF" w:rsidP="000C6EB7">
      <w:pPr>
        <w:pStyle w:val="ListParagraph"/>
        <w:numPr>
          <w:ilvl w:val="0"/>
          <w:numId w:val="11"/>
        </w:numPr>
      </w:pPr>
      <w:r>
        <w:t>Repair and/or replace leaking distribution pipes</w:t>
      </w:r>
      <w:r w:rsidR="00A15E88">
        <w:t xml:space="preserve"> (to reduce losses in distribution system</w:t>
      </w:r>
      <w:r w:rsidR="00A62C1C">
        <w:t xml:space="preserve"> including pollution from saltwater inundation</w:t>
      </w:r>
      <w:r w:rsidR="00A15E88">
        <w:t>)</w:t>
      </w:r>
      <w:r w:rsidR="005868BA">
        <w:t xml:space="preserve">. </w:t>
      </w:r>
      <w:r>
        <w:t xml:space="preserve"> </w:t>
      </w:r>
    </w:p>
    <w:p w:rsidR="00F17C28" w:rsidRPr="007B6AF1" w:rsidRDefault="00F17C28" w:rsidP="007B6AF1">
      <w:pPr>
        <w:rPr>
          <w:u w:val="single"/>
        </w:rPr>
      </w:pPr>
      <w:r w:rsidRPr="007B6AF1">
        <w:rPr>
          <w:u w:val="single"/>
        </w:rPr>
        <w:t>4. Costs and Benefits</w:t>
      </w:r>
    </w:p>
    <w:p w:rsidR="007B6AF1" w:rsidRPr="00693793" w:rsidRDefault="007B6AF1" w:rsidP="00693793">
      <w:r>
        <w:t xml:space="preserve">The costs considered were construction and maintenance costs. Both construction and maintenance costs included capital, equipment, materials, and labour. </w:t>
      </w:r>
      <w:r w:rsidR="00693793">
        <w:rPr>
          <w:rFonts w:cstheme="minorHAnsi"/>
        </w:rPr>
        <w:t>Details of</w:t>
      </w:r>
      <w:r w:rsidR="00693793" w:rsidRPr="00454F41">
        <w:rPr>
          <w:rFonts w:cstheme="minorHAnsi"/>
        </w:rPr>
        <w:t xml:space="preserve"> construction and maintenance costs for each option is provided in </w:t>
      </w:r>
      <w:r w:rsidR="00693793">
        <w:rPr>
          <w:rFonts w:cstheme="minorHAnsi"/>
        </w:rPr>
        <w:t xml:space="preserve">Appendix 1. </w:t>
      </w:r>
    </w:p>
    <w:p w:rsidR="007B6AF1" w:rsidRPr="004D6C41" w:rsidRDefault="007B6AF1" w:rsidP="007B6AF1">
      <w:r w:rsidRPr="004D6C41">
        <w:t xml:space="preserve">The benefit streams were considered as </w:t>
      </w:r>
      <w:r>
        <w:t>two main</w:t>
      </w:r>
      <w:r w:rsidRPr="004D6C41">
        <w:t xml:space="preserve"> categories</w:t>
      </w:r>
      <w:r>
        <w:t>.</w:t>
      </w:r>
    </w:p>
    <w:p w:rsidR="007B6AF1" w:rsidRDefault="007B6AF1" w:rsidP="007B6AF1">
      <w:r w:rsidRPr="004D6C41">
        <w:t xml:space="preserve">The first category related to the benefits from </w:t>
      </w:r>
      <w:r>
        <w:t>additional water supply</w:t>
      </w:r>
      <w:r w:rsidRPr="004D6C41">
        <w:t xml:space="preserve">. </w:t>
      </w:r>
      <w:r w:rsidRPr="0006206C">
        <w:t>The quantity of additional water supplied from each option</w:t>
      </w:r>
      <w:r w:rsidR="00DA23AA">
        <w:t xml:space="preserve"> is </w:t>
      </w:r>
      <w:r w:rsidR="000C6EB7">
        <w:t xml:space="preserve">estimated at around 50,000 </w:t>
      </w:r>
      <w:r w:rsidR="000C6EB7" w:rsidRPr="0021025D">
        <w:rPr>
          <w:rFonts w:cstheme="minorHAnsi"/>
        </w:rPr>
        <w:t>m</w:t>
      </w:r>
      <w:r w:rsidR="000C6EB7" w:rsidRPr="0021025D">
        <w:rPr>
          <w:rFonts w:cstheme="minorHAnsi"/>
          <w:vertAlign w:val="superscript"/>
        </w:rPr>
        <w:t>3</w:t>
      </w:r>
      <w:r w:rsidR="000C6EB7" w:rsidRPr="0021025D">
        <w:rPr>
          <w:rFonts w:cstheme="minorHAnsi"/>
        </w:rPr>
        <w:t xml:space="preserve"> </w:t>
      </w:r>
      <w:r w:rsidR="000C6EB7">
        <w:rPr>
          <w:rFonts w:cstheme="minorHAnsi"/>
        </w:rPr>
        <w:t>per</w:t>
      </w:r>
      <w:r w:rsidR="000C6EB7" w:rsidRPr="0021025D">
        <w:rPr>
          <w:rFonts w:cstheme="minorHAnsi"/>
        </w:rPr>
        <w:t xml:space="preserve"> year</w:t>
      </w:r>
      <w:r w:rsidR="000C6EB7">
        <w:t xml:space="preserve">, 4,700 </w:t>
      </w:r>
      <w:r w:rsidR="000C6EB7" w:rsidRPr="0021025D">
        <w:rPr>
          <w:rFonts w:cstheme="minorHAnsi"/>
        </w:rPr>
        <w:t>m</w:t>
      </w:r>
      <w:r w:rsidR="000C6EB7" w:rsidRPr="0021025D">
        <w:rPr>
          <w:rFonts w:cstheme="minorHAnsi"/>
          <w:vertAlign w:val="superscript"/>
        </w:rPr>
        <w:t>3</w:t>
      </w:r>
      <w:r w:rsidR="000C6EB7" w:rsidRPr="0021025D">
        <w:rPr>
          <w:rFonts w:cstheme="minorHAnsi"/>
        </w:rPr>
        <w:t xml:space="preserve"> </w:t>
      </w:r>
      <w:r w:rsidR="000C6EB7">
        <w:rPr>
          <w:rFonts w:cstheme="minorHAnsi"/>
        </w:rPr>
        <w:t>per</w:t>
      </w:r>
      <w:r w:rsidR="000C6EB7" w:rsidRPr="0021025D">
        <w:rPr>
          <w:rFonts w:cstheme="minorHAnsi"/>
        </w:rPr>
        <w:t xml:space="preserve"> year</w:t>
      </w:r>
      <w:r w:rsidR="000C6EB7">
        <w:t xml:space="preserve">, and </w:t>
      </w:r>
      <w:r w:rsidR="000C6EB7">
        <w:lastRenderedPageBreak/>
        <w:t xml:space="preserve">87,000 </w:t>
      </w:r>
      <w:r w:rsidR="000C6EB7" w:rsidRPr="0021025D">
        <w:rPr>
          <w:rFonts w:cstheme="minorHAnsi"/>
        </w:rPr>
        <w:t>m</w:t>
      </w:r>
      <w:r w:rsidR="000C6EB7" w:rsidRPr="0021025D">
        <w:rPr>
          <w:rFonts w:cstheme="minorHAnsi"/>
          <w:vertAlign w:val="superscript"/>
        </w:rPr>
        <w:t>3</w:t>
      </w:r>
      <w:r w:rsidR="000C6EB7" w:rsidRPr="0021025D">
        <w:rPr>
          <w:rFonts w:cstheme="minorHAnsi"/>
        </w:rPr>
        <w:t xml:space="preserve"> </w:t>
      </w:r>
      <w:r w:rsidR="000C6EB7">
        <w:rPr>
          <w:rFonts w:cstheme="minorHAnsi"/>
        </w:rPr>
        <w:t>per</w:t>
      </w:r>
      <w:r w:rsidR="000C6EB7" w:rsidRPr="0021025D">
        <w:rPr>
          <w:rFonts w:cstheme="minorHAnsi"/>
        </w:rPr>
        <w:t xml:space="preserve"> year</w:t>
      </w:r>
      <w:r w:rsidR="000C6EB7">
        <w:t xml:space="preserve"> for options i, ii and iii respectively</w:t>
      </w:r>
      <w:r w:rsidR="00DA23AA">
        <w:t>.</w:t>
      </w:r>
      <w:r w:rsidRPr="0006206C">
        <w:t xml:space="preserve"> </w:t>
      </w:r>
      <w:r w:rsidR="00DA23AA">
        <w:t>More information on</w:t>
      </w:r>
      <w:r w:rsidRPr="0006206C">
        <w:t xml:space="preserve"> how th</w:t>
      </w:r>
      <w:r w:rsidR="00DA23AA">
        <w:t>ese quantities were</w:t>
      </w:r>
      <w:r w:rsidRPr="0006206C">
        <w:t xml:space="preserve"> calculated is </w:t>
      </w:r>
      <w:r w:rsidR="00DA23AA">
        <w:t>provided</w:t>
      </w:r>
      <w:r w:rsidRPr="0006206C">
        <w:t xml:space="preserve"> in Appendix </w:t>
      </w:r>
      <w:r w:rsidR="00693793">
        <w:t>1</w:t>
      </w:r>
      <w:r w:rsidRPr="0006206C">
        <w:t xml:space="preserve">. </w:t>
      </w:r>
    </w:p>
    <w:p w:rsidR="007B6AF1" w:rsidRPr="004D6C41" w:rsidRDefault="007B6AF1" w:rsidP="007B6AF1">
      <w:r w:rsidRPr="004D6C41">
        <w:t xml:space="preserve">The second benefit category related to </w:t>
      </w:r>
      <w:r>
        <w:t>l</w:t>
      </w:r>
      <w:r w:rsidRPr="0098659E">
        <w:t xml:space="preserve">ower incidences of water-related health </w:t>
      </w:r>
      <w:r>
        <w:t xml:space="preserve">problems such as </w:t>
      </w:r>
      <w:r w:rsidRPr="00191387">
        <w:t>gastroenteritis</w:t>
      </w:r>
      <w:r w:rsidR="009B0420">
        <w:t xml:space="preserve"> (indirect benefits of additional water)</w:t>
      </w:r>
      <w:r w:rsidR="00693793">
        <w:t>.</w:t>
      </w:r>
      <w:r w:rsidR="009B0420">
        <w:rPr>
          <w:rStyle w:val="FootnoteReference"/>
        </w:rPr>
        <w:footnoteReference w:id="4"/>
      </w:r>
      <w:r w:rsidRPr="004D6C41">
        <w:t xml:space="preserve"> </w:t>
      </w:r>
      <w:r>
        <w:t>In this study, lack of data/information and time constraints did not allow this benefit category to be quantified. Suffice to say, lower incidence of water-related health problems is considered to be a significant benefit of the project options.</w:t>
      </w:r>
    </w:p>
    <w:p w:rsidR="00F17C28" w:rsidRPr="00693793" w:rsidRDefault="00F17C28" w:rsidP="00693793">
      <w:pPr>
        <w:rPr>
          <w:u w:val="single"/>
        </w:rPr>
      </w:pPr>
      <w:r w:rsidRPr="00693793">
        <w:rPr>
          <w:u w:val="single"/>
        </w:rPr>
        <w:t>5. Preliminary Results and Sensitivity Analysis</w:t>
      </w:r>
    </w:p>
    <w:p w:rsidR="00AE3967" w:rsidRDefault="00AE3967" w:rsidP="00AE3967">
      <w:r>
        <w:t xml:space="preserve">Table </w:t>
      </w:r>
      <w:r w:rsidR="000C6EB7">
        <w:t>1</w:t>
      </w:r>
      <w:r>
        <w:t xml:space="preserve"> below provides</w:t>
      </w:r>
      <w:r w:rsidR="00F17C28">
        <w:t xml:space="preserve"> a preliminary evaluation of the cost and benefit categories for each option.</w:t>
      </w:r>
      <w:r>
        <w:t xml:space="preserve"> Costs are </w:t>
      </w:r>
      <w:r w:rsidR="00CD0E38">
        <w:t xml:space="preserve">quantitatively </w:t>
      </w:r>
      <w:r>
        <w:t xml:space="preserve">expressed in annualised terms using a </w:t>
      </w:r>
      <w:r w:rsidR="00A23163">
        <w:t>4% discount rate</w:t>
      </w:r>
      <w:r>
        <w:t>. The value of benefit items are qualitatively rated as either 'high', 'medium' or 'low'</w:t>
      </w:r>
      <w:r w:rsidR="00A23163">
        <w:t xml:space="preserve"> and</w:t>
      </w:r>
      <w:r w:rsidR="005868BA">
        <w:t xml:space="preserve"> in this case</w:t>
      </w:r>
      <w:r w:rsidR="00A23163">
        <w:t xml:space="preserve"> are based on quantities of additional water supply summarised in Table 1. </w:t>
      </w:r>
      <w:r>
        <w:t xml:space="preserve"> </w:t>
      </w:r>
    </w:p>
    <w:p w:rsidR="00F17C28" w:rsidRDefault="00AE3967" w:rsidP="00AE3967">
      <w:r>
        <w:t xml:space="preserve">Table </w:t>
      </w:r>
      <w:r w:rsidR="000C6EB7">
        <w:t>1</w:t>
      </w:r>
      <w:r>
        <w:t xml:space="preserve"> further provides an</w:t>
      </w:r>
      <w:r w:rsidR="00F17C28">
        <w:t xml:space="preserve"> overall judgement on whether benefits outweigh costs using a </w:t>
      </w:r>
      <w:r w:rsidR="000C6EB7">
        <w:t>'</w:t>
      </w:r>
      <w:r w:rsidR="00F17C28">
        <w:t>traffic light system</w:t>
      </w:r>
      <w:r w:rsidR="000C6EB7">
        <w:t>'</w:t>
      </w:r>
      <w:r w:rsidR="00BA0CB0">
        <w:t>. That is</w:t>
      </w:r>
      <w:r w:rsidR="00F17C28">
        <w:t xml:space="preserve">: </w:t>
      </w:r>
    </w:p>
    <w:p w:rsidR="00F17C28" w:rsidRDefault="00BA0CB0" w:rsidP="00F17C28">
      <w:pPr>
        <w:pStyle w:val="ListParagraph"/>
        <w:numPr>
          <w:ilvl w:val="0"/>
          <w:numId w:val="5"/>
        </w:numPr>
      </w:pPr>
      <w:r>
        <w:t xml:space="preserve">a </w:t>
      </w:r>
      <w:r w:rsidR="00F17C28">
        <w:t>green</w:t>
      </w:r>
      <w:r>
        <w:t xml:space="preserve"> light</w:t>
      </w:r>
      <w:r w:rsidR="00F17C28">
        <w:t xml:space="preserve"> indicates the option clearly generates benefits that are greater than </w:t>
      </w:r>
      <w:r w:rsidR="000C6EB7">
        <w:t>its</w:t>
      </w:r>
      <w:r w:rsidR="00F17C28">
        <w:t xml:space="preserve"> costs; </w:t>
      </w:r>
    </w:p>
    <w:p w:rsidR="00F17C28" w:rsidRDefault="00BA0CB0" w:rsidP="00F17C28">
      <w:pPr>
        <w:pStyle w:val="ListParagraph"/>
        <w:numPr>
          <w:ilvl w:val="0"/>
          <w:numId w:val="5"/>
        </w:numPr>
      </w:pPr>
      <w:r>
        <w:t xml:space="preserve">an </w:t>
      </w:r>
      <w:r w:rsidR="00F17C28">
        <w:t>orange</w:t>
      </w:r>
      <w:r>
        <w:t xml:space="preserve"> light</w:t>
      </w:r>
      <w:r w:rsidR="00F17C28">
        <w:t xml:space="preserve"> indicates that it is unclear whether project benefits outweigh costs; and </w:t>
      </w:r>
    </w:p>
    <w:p w:rsidR="00F17C28" w:rsidRDefault="00BA0CB0" w:rsidP="00F17C28">
      <w:pPr>
        <w:pStyle w:val="ListParagraph"/>
        <w:numPr>
          <w:ilvl w:val="0"/>
          <w:numId w:val="5"/>
        </w:numPr>
      </w:pPr>
      <w:r>
        <w:t xml:space="preserve">a </w:t>
      </w:r>
      <w:r w:rsidR="00F17C28">
        <w:t xml:space="preserve">red </w:t>
      </w:r>
      <w:r>
        <w:t>light</w:t>
      </w:r>
      <w:r w:rsidR="00F17C28">
        <w:t xml:space="preserve"> indicates the option clearly does not generate benefits that are greater than the costs.</w:t>
      </w:r>
    </w:p>
    <w:p w:rsidR="00F17C28" w:rsidRPr="00EC606A" w:rsidRDefault="00F17C28" w:rsidP="00A23163">
      <w:pPr>
        <w:pStyle w:val="Caption"/>
      </w:pPr>
      <w:r>
        <w:br/>
      </w:r>
      <w:r w:rsidR="00A23163">
        <w:t xml:space="preserve">Table </w:t>
      </w:r>
      <w:fldSimple w:instr=" SEQ Table \* ARABIC ">
        <w:r w:rsidR="007747B1">
          <w:rPr>
            <w:noProof/>
          </w:rPr>
          <w:t>1</w:t>
        </w:r>
      </w:fldSimple>
      <w:r w:rsidR="00A23163">
        <w:t xml:space="preserve">: </w:t>
      </w:r>
      <w:r w:rsidR="00A23163" w:rsidRPr="0051408A">
        <w:t>Summary of preliminary CBA results</w:t>
      </w:r>
    </w:p>
    <w:tbl>
      <w:tblPr>
        <w:tblStyle w:val="TableGrid"/>
        <w:tblW w:w="0" w:type="auto"/>
        <w:tblLayout w:type="fixed"/>
        <w:tblLook w:val="04A0"/>
      </w:tblPr>
      <w:tblGrid>
        <w:gridCol w:w="2091"/>
        <w:gridCol w:w="1986"/>
        <w:gridCol w:w="1985"/>
        <w:gridCol w:w="1984"/>
        <w:gridCol w:w="1196"/>
      </w:tblGrid>
      <w:tr w:rsidR="00A23163" w:rsidTr="00A23C22">
        <w:tc>
          <w:tcPr>
            <w:tcW w:w="2091" w:type="dxa"/>
            <w:vMerge w:val="restart"/>
          </w:tcPr>
          <w:p w:rsidR="00A23163" w:rsidRDefault="00A23163" w:rsidP="00DA23AA">
            <w:r>
              <w:t>Option</w:t>
            </w:r>
          </w:p>
        </w:tc>
        <w:tc>
          <w:tcPr>
            <w:tcW w:w="1986" w:type="dxa"/>
            <w:vMerge w:val="restart"/>
          </w:tcPr>
          <w:p w:rsidR="00A23163" w:rsidRDefault="00A23163" w:rsidP="00A23163">
            <w:pPr>
              <w:jc w:val="center"/>
              <w:rPr>
                <w:i/>
              </w:rPr>
            </w:pPr>
            <w:r>
              <w:t>Annualised Construction and Maintenance Costs @ 4%</w:t>
            </w:r>
            <w:r w:rsidR="00BA0CB0">
              <w:t xml:space="preserve"> (US$</w:t>
            </w:r>
            <w:r w:rsidR="00280400">
              <w:t>/year</w:t>
            </w:r>
            <w:r w:rsidR="00BA0CB0">
              <w:t>)</w:t>
            </w:r>
          </w:p>
        </w:tc>
        <w:tc>
          <w:tcPr>
            <w:tcW w:w="3969" w:type="dxa"/>
            <w:gridSpan w:val="2"/>
          </w:tcPr>
          <w:p w:rsidR="00A23163" w:rsidRDefault="00A23163" w:rsidP="00A23C22">
            <w:pPr>
              <w:jc w:val="center"/>
              <w:rPr>
                <w:i/>
              </w:rPr>
            </w:pPr>
            <w:r>
              <w:t>Benefits</w:t>
            </w:r>
          </w:p>
        </w:tc>
        <w:tc>
          <w:tcPr>
            <w:tcW w:w="1196" w:type="dxa"/>
            <w:vMerge w:val="restart"/>
          </w:tcPr>
          <w:p w:rsidR="00A23163" w:rsidRPr="0050651D" w:rsidRDefault="00A23C22" w:rsidP="00A23C22">
            <w:pPr>
              <w:jc w:val="center"/>
            </w:pPr>
            <w:r>
              <w:t>Net benefit</w:t>
            </w:r>
          </w:p>
        </w:tc>
      </w:tr>
      <w:tr w:rsidR="00A23163" w:rsidTr="00A23C22">
        <w:tc>
          <w:tcPr>
            <w:tcW w:w="2091" w:type="dxa"/>
            <w:vMerge/>
          </w:tcPr>
          <w:p w:rsidR="00A23163" w:rsidRDefault="00A23163" w:rsidP="00DA23AA"/>
        </w:tc>
        <w:tc>
          <w:tcPr>
            <w:tcW w:w="1986" w:type="dxa"/>
            <w:vMerge/>
          </w:tcPr>
          <w:p w:rsidR="00A23163" w:rsidRDefault="00A23163" w:rsidP="00DA23AA">
            <w:pPr>
              <w:rPr>
                <w:i/>
              </w:rPr>
            </w:pPr>
          </w:p>
        </w:tc>
        <w:tc>
          <w:tcPr>
            <w:tcW w:w="1985" w:type="dxa"/>
          </w:tcPr>
          <w:p w:rsidR="00A23163" w:rsidRPr="0050651D" w:rsidRDefault="00A23163" w:rsidP="00A23C22">
            <w:pPr>
              <w:jc w:val="center"/>
              <w:rPr>
                <w:i/>
              </w:rPr>
            </w:pPr>
            <w:r>
              <w:rPr>
                <w:i/>
              </w:rPr>
              <w:t xml:space="preserve">Additional </w:t>
            </w:r>
            <w:r w:rsidR="00A23C22">
              <w:rPr>
                <w:i/>
              </w:rPr>
              <w:t xml:space="preserve">quantity of </w:t>
            </w:r>
            <w:r>
              <w:rPr>
                <w:i/>
              </w:rPr>
              <w:t>water</w:t>
            </w:r>
          </w:p>
          <w:p w:rsidR="00A23163" w:rsidRDefault="00A23163" w:rsidP="00A23C22">
            <w:pPr>
              <w:jc w:val="center"/>
              <w:rPr>
                <w:i/>
              </w:rPr>
            </w:pPr>
          </w:p>
        </w:tc>
        <w:tc>
          <w:tcPr>
            <w:tcW w:w="1984" w:type="dxa"/>
          </w:tcPr>
          <w:p w:rsidR="00A23163" w:rsidRPr="00A23C22" w:rsidRDefault="00A23C22" w:rsidP="00A23C22">
            <w:pPr>
              <w:jc w:val="center"/>
              <w:rPr>
                <w:i/>
              </w:rPr>
            </w:pPr>
            <w:r>
              <w:rPr>
                <w:i/>
              </w:rPr>
              <w:t>L</w:t>
            </w:r>
            <w:r w:rsidRPr="00A23C22">
              <w:rPr>
                <w:i/>
              </w:rPr>
              <w:t>ower incidences of water-related health problems</w:t>
            </w:r>
          </w:p>
        </w:tc>
        <w:tc>
          <w:tcPr>
            <w:tcW w:w="1196" w:type="dxa"/>
            <w:vMerge/>
          </w:tcPr>
          <w:p w:rsidR="00A23163" w:rsidRDefault="00A23163" w:rsidP="00DA23AA">
            <w:pPr>
              <w:rPr>
                <w:i/>
              </w:rPr>
            </w:pPr>
          </w:p>
        </w:tc>
      </w:tr>
      <w:tr w:rsidR="005868BA" w:rsidTr="00A23C22">
        <w:tc>
          <w:tcPr>
            <w:tcW w:w="2091" w:type="dxa"/>
          </w:tcPr>
          <w:p w:rsidR="005868BA" w:rsidRPr="00A23163" w:rsidRDefault="005868BA" w:rsidP="00C01277">
            <w:pPr>
              <w:spacing w:after="200" w:line="269" w:lineRule="auto"/>
              <w:rPr>
                <w:rFonts w:cstheme="minorHAnsi"/>
                <w:i/>
              </w:rPr>
            </w:pPr>
            <w:r w:rsidRPr="00A23163">
              <w:rPr>
                <w:rFonts w:cstheme="minorHAnsi"/>
                <w:i/>
              </w:rPr>
              <w:t>1. Reline reservoir</w:t>
            </w:r>
          </w:p>
        </w:tc>
        <w:tc>
          <w:tcPr>
            <w:tcW w:w="1986" w:type="dxa"/>
          </w:tcPr>
          <w:p w:rsidR="005868BA" w:rsidRPr="00BA0CB0" w:rsidRDefault="005868BA" w:rsidP="00A4078E">
            <w:pPr>
              <w:jc w:val="center"/>
            </w:pPr>
            <w:r w:rsidRPr="00BA0CB0">
              <w:t>4,1</w:t>
            </w:r>
            <w:r w:rsidR="00A4078E">
              <w:t>7</w:t>
            </w:r>
            <w:r w:rsidRPr="00BA0CB0">
              <w:t>1</w:t>
            </w:r>
          </w:p>
        </w:tc>
        <w:tc>
          <w:tcPr>
            <w:tcW w:w="1985" w:type="dxa"/>
          </w:tcPr>
          <w:p w:rsidR="005868BA" w:rsidRPr="005868BA" w:rsidRDefault="005868BA" w:rsidP="005868BA">
            <w:pPr>
              <w:jc w:val="center"/>
            </w:pPr>
            <w:r>
              <w:t>High</w:t>
            </w:r>
          </w:p>
        </w:tc>
        <w:tc>
          <w:tcPr>
            <w:tcW w:w="1984" w:type="dxa"/>
          </w:tcPr>
          <w:p w:rsidR="005868BA" w:rsidRPr="005868BA" w:rsidRDefault="005868BA" w:rsidP="00C01277">
            <w:pPr>
              <w:jc w:val="center"/>
            </w:pPr>
            <w:r>
              <w:t>High</w:t>
            </w:r>
          </w:p>
        </w:tc>
        <w:tc>
          <w:tcPr>
            <w:tcW w:w="1196" w:type="dxa"/>
            <w:shd w:val="clear" w:color="auto" w:fill="00B050"/>
          </w:tcPr>
          <w:p w:rsidR="005868BA" w:rsidRDefault="005868BA" w:rsidP="00DA23AA">
            <w:pPr>
              <w:rPr>
                <w:i/>
              </w:rPr>
            </w:pPr>
          </w:p>
        </w:tc>
      </w:tr>
      <w:tr w:rsidR="005868BA" w:rsidTr="00A23C22">
        <w:tc>
          <w:tcPr>
            <w:tcW w:w="2091" w:type="dxa"/>
          </w:tcPr>
          <w:p w:rsidR="005868BA" w:rsidRPr="00A23163" w:rsidRDefault="005868BA" w:rsidP="00C01277">
            <w:pPr>
              <w:spacing w:after="200" w:line="269" w:lineRule="auto"/>
              <w:rPr>
                <w:rFonts w:cstheme="minorHAnsi"/>
                <w:i/>
              </w:rPr>
            </w:pPr>
            <w:r w:rsidRPr="00A23163">
              <w:rPr>
                <w:rFonts w:cstheme="minorHAnsi"/>
                <w:i/>
              </w:rPr>
              <w:t>2. Evaporation cover</w:t>
            </w:r>
          </w:p>
        </w:tc>
        <w:tc>
          <w:tcPr>
            <w:tcW w:w="1986" w:type="dxa"/>
          </w:tcPr>
          <w:p w:rsidR="005868BA" w:rsidRPr="00BA0CB0" w:rsidRDefault="005868BA" w:rsidP="00BA0CB0">
            <w:pPr>
              <w:jc w:val="center"/>
            </w:pPr>
            <w:r w:rsidRPr="00BA0CB0">
              <w:t>12,844</w:t>
            </w:r>
          </w:p>
        </w:tc>
        <w:tc>
          <w:tcPr>
            <w:tcW w:w="1985" w:type="dxa"/>
          </w:tcPr>
          <w:p w:rsidR="005868BA" w:rsidRPr="005868BA" w:rsidRDefault="005868BA" w:rsidP="005868BA">
            <w:pPr>
              <w:jc w:val="center"/>
            </w:pPr>
            <w:r>
              <w:t>Medium</w:t>
            </w:r>
          </w:p>
        </w:tc>
        <w:tc>
          <w:tcPr>
            <w:tcW w:w="1984" w:type="dxa"/>
          </w:tcPr>
          <w:p w:rsidR="005868BA" w:rsidRPr="005868BA" w:rsidRDefault="005868BA" w:rsidP="00C01277">
            <w:pPr>
              <w:jc w:val="center"/>
            </w:pPr>
            <w:r>
              <w:t>Medium</w:t>
            </w:r>
          </w:p>
        </w:tc>
        <w:tc>
          <w:tcPr>
            <w:tcW w:w="1196" w:type="dxa"/>
            <w:shd w:val="clear" w:color="auto" w:fill="FFC000"/>
          </w:tcPr>
          <w:p w:rsidR="005868BA" w:rsidRDefault="005868BA" w:rsidP="00DA23AA">
            <w:pPr>
              <w:rPr>
                <w:i/>
              </w:rPr>
            </w:pPr>
          </w:p>
        </w:tc>
      </w:tr>
      <w:tr w:rsidR="005868BA" w:rsidTr="000A4929">
        <w:tc>
          <w:tcPr>
            <w:tcW w:w="2091" w:type="dxa"/>
          </w:tcPr>
          <w:p w:rsidR="005868BA" w:rsidRPr="00A23163" w:rsidRDefault="005868BA" w:rsidP="00C01277">
            <w:pPr>
              <w:spacing w:after="200" w:line="269" w:lineRule="auto"/>
              <w:rPr>
                <w:rFonts w:cstheme="minorHAnsi"/>
                <w:i/>
              </w:rPr>
            </w:pPr>
            <w:r w:rsidRPr="00A23163">
              <w:rPr>
                <w:rFonts w:cstheme="minorHAnsi"/>
                <w:i/>
              </w:rPr>
              <w:t>3. Repair and replace leaking pipes</w:t>
            </w:r>
          </w:p>
        </w:tc>
        <w:tc>
          <w:tcPr>
            <w:tcW w:w="1986" w:type="dxa"/>
          </w:tcPr>
          <w:p w:rsidR="005868BA" w:rsidRPr="00BA0CB0" w:rsidRDefault="005868BA" w:rsidP="00BA0CB0">
            <w:pPr>
              <w:jc w:val="center"/>
            </w:pPr>
            <w:r w:rsidRPr="00BA0CB0">
              <w:t>67,654</w:t>
            </w:r>
          </w:p>
        </w:tc>
        <w:tc>
          <w:tcPr>
            <w:tcW w:w="1985" w:type="dxa"/>
          </w:tcPr>
          <w:p w:rsidR="005868BA" w:rsidRPr="005868BA" w:rsidRDefault="005868BA" w:rsidP="005868BA">
            <w:pPr>
              <w:jc w:val="center"/>
            </w:pPr>
            <w:r>
              <w:t>High</w:t>
            </w:r>
          </w:p>
        </w:tc>
        <w:tc>
          <w:tcPr>
            <w:tcW w:w="1984" w:type="dxa"/>
          </w:tcPr>
          <w:p w:rsidR="005868BA" w:rsidRPr="005868BA" w:rsidRDefault="005868BA" w:rsidP="00C01277">
            <w:pPr>
              <w:jc w:val="center"/>
            </w:pPr>
            <w:r>
              <w:t>High</w:t>
            </w:r>
          </w:p>
        </w:tc>
        <w:tc>
          <w:tcPr>
            <w:tcW w:w="1196" w:type="dxa"/>
            <w:shd w:val="clear" w:color="auto" w:fill="FFC000"/>
          </w:tcPr>
          <w:p w:rsidR="005868BA" w:rsidRDefault="005868BA" w:rsidP="00DA23AA">
            <w:pPr>
              <w:rPr>
                <w:i/>
              </w:rPr>
            </w:pPr>
          </w:p>
        </w:tc>
      </w:tr>
    </w:tbl>
    <w:p w:rsidR="00AE3967" w:rsidRDefault="00AE3967" w:rsidP="00AE3967">
      <w:pPr>
        <w:rPr>
          <w:i/>
        </w:rPr>
      </w:pPr>
    </w:p>
    <w:p w:rsidR="00F17C28" w:rsidRPr="00AE3967" w:rsidRDefault="00F17C28" w:rsidP="00AE3967">
      <w:pPr>
        <w:rPr>
          <w:i/>
        </w:rPr>
      </w:pPr>
      <w:r w:rsidRPr="00AE3967">
        <w:rPr>
          <w:i/>
        </w:rPr>
        <w:t>Sensitivity Analysis (risks and uncertainties)</w:t>
      </w:r>
    </w:p>
    <w:p w:rsidR="00D51C29" w:rsidRDefault="00280400" w:rsidP="00F17C28">
      <w:pPr>
        <w:autoSpaceDE w:val="0"/>
        <w:autoSpaceDN w:val="0"/>
        <w:adjustRightInd w:val="0"/>
        <w:spacing w:after="0" w:line="240" w:lineRule="auto"/>
        <w:rPr>
          <w:rFonts w:cstheme="minorHAnsi"/>
        </w:rPr>
      </w:pPr>
      <w:r>
        <w:rPr>
          <w:rFonts w:cstheme="minorHAnsi"/>
        </w:rPr>
        <w:t xml:space="preserve">There is some uncertainty about </w:t>
      </w:r>
      <w:r w:rsidR="00A4078E">
        <w:rPr>
          <w:rFonts w:cstheme="minorHAnsi"/>
        </w:rPr>
        <w:t xml:space="preserve">the </w:t>
      </w:r>
      <w:r w:rsidRPr="00280400">
        <w:rPr>
          <w:rFonts w:cstheme="minorHAnsi"/>
        </w:rPr>
        <w:t>length of project life</w:t>
      </w:r>
      <w:r w:rsidR="00A4078E">
        <w:rPr>
          <w:rFonts w:cstheme="minorHAnsi"/>
        </w:rPr>
        <w:t xml:space="preserve"> </w:t>
      </w:r>
      <w:r w:rsidRPr="00280400">
        <w:rPr>
          <w:rFonts w:cstheme="minorHAnsi"/>
        </w:rPr>
        <w:t>for reservoir liner</w:t>
      </w:r>
      <w:r w:rsidR="00A4078E">
        <w:rPr>
          <w:rFonts w:cstheme="minorHAnsi"/>
        </w:rPr>
        <w:t xml:space="preserve"> and the</w:t>
      </w:r>
      <w:r w:rsidRPr="00280400">
        <w:rPr>
          <w:rFonts w:cstheme="minorHAnsi"/>
        </w:rPr>
        <w:t xml:space="preserve"> evaporation cover</w:t>
      </w:r>
      <w:r w:rsidR="00A4078E">
        <w:rPr>
          <w:rFonts w:cstheme="minorHAnsi"/>
        </w:rPr>
        <w:t>. If the true expected life of the liner and cover is 20 years</w:t>
      </w:r>
      <w:r w:rsidR="0085462F">
        <w:rPr>
          <w:rStyle w:val="FootnoteReference"/>
          <w:rFonts w:cstheme="minorHAnsi"/>
        </w:rPr>
        <w:footnoteReference w:id="5"/>
      </w:r>
      <w:r w:rsidR="00A4078E">
        <w:rPr>
          <w:rFonts w:cstheme="minorHAnsi"/>
        </w:rPr>
        <w:t xml:space="preserve"> rather than the estimated 30 years</w:t>
      </w:r>
      <w:r w:rsidR="0085462F">
        <w:rPr>
          <w:rFonts w:cstheme="minorHAnsi"/>
        </w:rPr>
        <w:t>,</w:t>
      </w:r>
      <w:r w:rsidR="00A4078E">
        <w:rPr>
          <w:rFonts w:cstheme="minorHAnsi"/>
        </w:rPr>
        <w:t xml:space="preserve"> then annualised costs will increase to US$6,242 and US$19,012</w:t>
      </w:r>
      <w:r w:rsidR="0085462F">
        <w:rPr>
          <w:rFonts w:cstheme="minorHAnsi"/>
        </w:rPr>
        <w:t xml:space="preserve"> for the liner and cover respectively</w:t>
      </w:r>
      <w:r w:rsidRPr="00280400">
        <w:rPr>
          <w:rFonts w:cstheme="minorHAnsi"/>
        </w:rPr>
        <w:t xml:space="preserve">. </w:t>
      </w:r>
      <w:r w:rsidR="007747B1">
        <w:rPr>
          <w:rFonts w:cstheme="minorHAnsi"/>
        </w:rPr>
        <w:lastRenderedPageBreak/>
        <w:t xml:space="preserve">This highlights the importance of following a proper maintenance schedule for the liner and cover, should they be implemented. </w:t>
      </w:r>
      <w:r w:rsidR="0023404B">
        <w:rPr>
          <w:rFonts w:cstheme="minorHAnsi"/>
        </w:rPr>
        <w:t xml:space="preserve">It also highlights the importance of making sure the materials are </w:t>
      </w:r>
      <w:r w:rsidR="002953C8">
        <w:rPr>
          <w:rFonts w:cstheme="minorHAnsi"/>
        </w:rPr>
        <w:t>suitably maintained to withstand</w:t>
      </w:r>
      <w:r w:rsidR="0023404B">
        <w:rPr>
          <w:rFonts w:cstheme="minorHAnsi"/>
        </w:rPr>
        <w:t xml:space="preserve"> salt water </w:t>
      </w:r>
      <w:r w:rsidR="002953C8">
        <w:rPr>
          <w:rFonts w:cstheme="minorHAnsi"/>
        </w:rPr>
        <w:t>incursion</w:t>
      </w:r>
      <w:r w:rsidR="0023404B">
        <w:rPr>
          <w:rFonts w:cstheme="minorHAnsi"/>
        </w:rPr>
        <w:t xml:space="preserve"> (associated with extreme tide events). </w:t>
      </w:r>
    </w:p>
    <w:p w:rsidR="00280400" w:rsidRDefault="002953C8" w:rsidP="00F17C28">
      <w:pPr>
        <w:autoSpaceDE w:val="0"/>
        <w:autoSpaceDN w:val="0"/>
        <w:adjustRightInd w:val="0"/>
        <w:spacing w:after="0" w:line="240" w:lineRule="auto"/>
        <w:rPr>
          <w:rFonts w:cstheme="minorHAnsi"/>
        </w:rPr>
      </w:pPr>
      <w:r>
        <w:rPr>
          <w:rFonts w:cstheme="minorHAnsi"/>
        </w:rPr>
        <w:t xml:space="preserve"> </w:t>
      </w:r>
      <w:r w:rsidR="0023404B">
        <w:rPr>
          <w:rFonts w:cstheme="minorHAnsi"/>
        </w:rPr>
        <w:t xml:space="preserve"> </w:t>
      </w:r>
    </w:p>
    <w:p w:rsidR="00F17C28" w:rsidRPr="00787DF0" w:rsidRDefault="00F17C28" w:rsidP="00787DF0">
      <w:pPr>
        <w:rPr>
          <w:u w:val="single"/>
        </w:rPr>
      </w:pPr>
      <w:r w:rsidRPr="00787DF0">
        <w:rPr>
          <w:u w:val="single"/>
        </w:rPr>
        <w:t>6. Equity and distributional implications</w:t>
      </w:r>
    </w:p>
    <w:p w:rsidR="00CD0E38" w:rsidRDefault="00CD0E38" w:rsidP="00CD0E38">
      <w:pPr>
        <w:autoSpaceDE w:val="0"/>
        <w:autoSpaceDN w:val="0"/>
        <w:adjustRightInd w:val="0"/>
        <w:spacing w:after="0" w:line="240" w:lineRule="auto"/>
        <w:rPr>
          <w:rFonts w:cstheme="minorHAnsi"/>
          <w:color w:val="000000"/>
        </w:rPr>
      </w:pPr>
      <w:r>
        <w:rPr>
          <w:rFonts w:cstheme="minorHAnsi"/>
          <w:color w:val="000000"/>
        </w:rPr>
        <w:t xml:space="preserve">Table 2 below summarises </w:t>
      </w:r>
      <w:r w:rsidRPr="00A66928">
        <w:rPr>
          <w:rFonts w:cstheme="minorHAnsi"/>
          <w:color w:val="000000"/>
        </w:rPr>
        <w:t>which stakeholder groups will incur costs and which stakeholder groups will accrue benefits for each major cost and benefit category.</w:t>
      </w:r>
      <w:r w:rsidR="009344E8">
        <w:rPr>
          <w:rFonts w:cstheme="minorHAnsi"/>
          <w:color w:val="000000"/>
        </w:rPr>
        <w:t xml:space="preserve"> This is done for option 1 only at this stage, noting that a similar distribution of costs and benefits between stakeholders would also apply to options 2 and 3. </w:t>
      </w:r>
    </w:p>
    <w:p w:rsidR="00A62C1C" w:rsidRDefault="00A62C1C" w:rsidP="00CD0E38">
      <w:pPr>
        <w:autoSpaceDE w:val="0"/>
        <w:autoSpaceDN w:val="0"/>
        <w:adjustRightInd w:val="0"/>
        <w:spacing w:after="0" w:line="240" w:lineRule="auto"/>
        <w:rPr>
          <w:rFonts w:cstheme="minorHAnsi"/>
          <w:color w:val="000000"/>
        </w:rPr>
      </w:pPr>
    </w:p>
    <w:p w:rsidR="00A62C1C" w:rsidRPr="00A66928" w:rsidRDefault="00A62C1C" w:rsidP="00CD0E38">
      <w:pPr>
        <w:autoSpaceDE w:val="0"/>
        <w:autoSpaceDN w:val="0"/>
        <w:adjustRightInd w:val="0"/>
        <w:spacing w:after="0" w:line="240" w:lineRule="auto"/>
        <w:rPr>
          <w:rFonts w:cstheme="minorHAnsi"/>
          <w:color w:val="000000"/>
        </w:rPr>
      </w:pPr>
      <w:r>
        <w:rPr>
          <w:rFonts w:cstheme="minorHAnsi"/>
          <w:color w:val="000000"/>
        </w:rPr>
        <w:t xml:space="preserve">Because of </w:t>
      </w:r>
      <w:r w:rsidR="009344E8">
        <w:rPr>
          <w:rFonts w:cstheme="minorHAnsi"/>
          <w:color w:val="000000"/>
        </w:rPr>
        <w:t>limited</w:t>
      </w:r>
      <w:r>
        <w:rPr>
          <w:rFonts w:cstheme="minorHAnsi"/>
          <w:color w:val="000000"/>
        </w:rPr>
        <w:t xml:space="preserve"> information on the overall cost of providing public water supply services and the extent to which services are subsidised, the distribution of costs and benefits is </w:t>
      </w:r>
      <w:r w:rsidR="00966F79">
        <w:rPr>
          <w:rFonts w:cstheme="minorHAnsi"/>
          <w:color w:val="000000"/>
        </w:rPr>
        <w:t>roughly approximated</w:t>
      </w:r>
      <w:r>
        <w:rPr>
          <w:rFonts w:cstheme="minorHAnsi"/>
          <w:color w:val="000000"/>
        </w:rPr>
        <w:t xml:space="preserve"> using </w:t>
      </w:r>
      <w:r w:rsidR="009344E8">
        <w:rPr>
          <w:rFonts w:cstheme="minorHAnsi"/>
          <w:color w:val="000000"/>
        </w:rPr>
        <w:t>dots </w:t>
      </w:r>
      <w:r>
        <w:rPr>
          <w:rFonts w:cstheme="minorHAnsi"/>
          <w:color w:val="000000"/>
        </w:rPr>
        <w:t xml:space="preserve">(i.e. </w:t>
      </w:r>
      <w:r w:rsidR="009344E8">
        <w:rPr>
          <w:rFonts w:cstheme="minorHAnsi"/>
          <w:color w:val="000000"/>
        </w:rPr>
        <w:t>●</w:t>
      </w:r>
      <w:r>
        <w:rPr>
          <w:rFonts w:cstheme="minorHAnsi"/>
          <w:color w:val="000000"/>
        </w:rPr>
        <w:t xml:space="preserve">). </w:t>
      </w:r>
    </w:p>
    <w:p w:rsidR="007747B1" w:rsidRDefault="007747B1" w:rsidP="007747B1">
      <w:pPr>
        <w:pStyle w:val="Caption"/>
      </w:pPr>
    </w:p>
    <w:p w:rsidR="00F17C28" w:rsidRPr="00A66928" w:rsidRDefault="007747B1" w:rsidP="007747B1">
      <w:pPr>
        <w:pStyle w:val="Caption"/>
        <w:rPr>
          <w:rFonts w:cstheme="minorHAnsi"/>
          <w:color w:val="000000"/>
        </w:rPr>
      </w:pPr>
      <w:r>
        <w:t xml:space="preserve">Table </w:t>
      </w:r>
      <w:fldSimple w:instr=" SEQ Table \* ARABIC ">
        <w:r>
          <w:rPr>
            <w:noProof/>
          </w:rPr>
          <w:t>2</w:t>
        </w:r>
      </w:fldSimple>
      <w:r>
        <w:t xml:space="preserve"> Distribution of costs and benefits between stakeholder groups for option 1</w:t>
      </w:r>
    </w:p>
    <w:p w:rsidR="00F17C28" w:rsidRDefault="00F17C28" w:rsidP="00F17C28">
      <w:pPr>
        <w:autoSpaceDE w:val="0"/>
        <w:autoSpaceDN w:val="0"/>
        <w:adjustRightInd w:val="0"/>
        <w:spacing w:after="0" w:line="240" w:lineRule="auto"/>
        <w:rPr>
          <w:rFonts w:ascii="DIN-Medium" w:hAnsi="DIN-Medium" w:cs="DIN-Medium"/>
          <w:color w:val="FFFFFF"/>
          <w:sz w:val="16"/>
          <w:szCs w:val="16"/>
        </w:rPr>
      </w:pPr>
      <w:r>
        <w:rPr>
          <w:rFonts w:ascii="DIN-Medium" w:hAnsi="DIN-Medium" w:cs="DIN-Medium"/>
          <w:color w:val="FFFFFF"/>
          <w:sz w:val="16"/>
          <w:szCs w:val="16"/>
        </w:rPr>
        <w:t>Cost/benefit Stakeholder group 1 Stakeholder group 2 Stakeholder group 3</w:t>
      </w:r>
    </w:p>
    <w:tbl>
      <w:tblPr>
        <w:tblStyle w:val="TableGrid"/>
        <w:tblW w:w="0" w:type="auto"/>
        <w:tblLook w:val="04A0"/>
      </w:tblPr>
      <w:tblGrid>
        <w:gridCol w:w="2310"/>
        <w:gridCol w:w="2310"/>
        <w:gridCol w:w="2311"/>
      </w:tblGrid>
      <w:tr w:rsidR="00A62C1C" w:rsidTr="00DA23AA">
        <w:tc>
          <w:tcPr>
            <w:tcW w:w="2310" w:type="dxa"/>
          </w:tcPr>
          <w:p w:rsidR="00A62C1C" w:rsidRPr="00A66928" w:rsidRDefault="00A62C1C" w:rsidP="00DA23AA">
            <w:pPr>
              <w:autoSpaceDE w:val="0"/>
              <w:autoSpaceDN w:val="0"/>
              <w:adjustRightInd w:val="0"/>
              <w:rPr>
                <w:rFonts w:cstheme="minorHAnsi"/>
                <w:color w:val="000000"/>
              </w:rPr>
            </w:pPr>
            <w:r w:rsidRPr="00A66928">
              <w:rPr>
                <w:rFonts w:cstheme="minorHAnsi"/>
                <w:color w:val="000000"/>
              </w:rPr>
              <w:t>Cost/benefit category</w:t>
            </w:r>
          </w:p>
        </w:tc>
        <w:tc>
          <w:tcPr>
            <w:tcW w:w="2310" w:type="dxa"/>
          </w:tcPr>
          <w:p w:rsidR="00A62C1C" w:rsidRPr="00CD0E38" w:rsidRDefault="00A62C1C" w:rsidP="00CD0E38">
            <w:pPr>
              <w:autoSpaceDE w:val="0"/>
              <w:autoSpaceDN w:val="0"/>
              <w:adjustRightInd w:val="0"/>
              <w:jc w:val="center"/>
              <w:rPr>
                <w:rFonts w:cstheme="minorHAnsi"/>
                <w:color w:val="000000"/>
              </w:rPr>
            </w:pPr>
            <w:r w:rsidRPr="00CD0E38">
              <w:rPr>
                <w:rFonts w:cstheme="minorHAnsi"/>
                <w:color w:val="000000"/>
              </w:rPr>
              <w:t>MWSC</w:t>
            </w:r>
          </w:p>
        </w:tc>
        <w:tc>
          <w:tcPr>
            <w:tcW w:w="2311" w:type="dxa"/>
          </w:tcPr>
          <w:p w:rsidR="00A62C1C" w:rsidRPr="00CD0E38" w:rsidRDefault="00A62C1C" w:rsidP="00CD0E38">
            <w:pPr>
              <w:autoSpaceDE w:val="0"/>
              <w:autoSpaceDN w:val="0"/>
              <w:adjustRightInd w:val="0"/>
              <w:jc w:val="center"/>
              <w:rPr>
                <w:rFonts w:cstheme="minorHAnsi"/>
                <w:color w:val="000000"/>
              </w:rPr>
            </w:pPr>
            <w:r w:rsidRPr="00CD0E38">
              <w:rPr>
                <w:rFonts w:cstheme="minorHAnsi"/>
              </w:rPr>
              <w:t>Households in the Rairok and DUD area of Majuro</w:t>
            </w:r>
          </w:p>
        </w:tc>
      </w:tr>
      <w:tr w:rsidR="00A62C1C" w:rsidTr="00DA23AA">
        <w:tc>
          <w:tcPr>
            <w:tcW w:w="2310" w:type="dxa"/>
          </w:tcPr>
          <w:p w:rsidR="00A62C1C" w:rsidRPr="00CD0E38" w:rsidRDefault="00A62C1C" w:rsidP="00DA23AA">
            <w:pPr>
              <w:autoSpaceDE w:val="0"/>
              <w:autoSpaceDN w:val="0"/>
              <w:adjustRightInd w:val="0"/>
              <w:rPr>
                <w:rFonts w:cstheme="minorHAnsi"/>
                <w:i/>
                <w:color w:val="000000"/>
              </w:rPr>
            </w:pPr>
            <w:r>
              <w:rPr>
                <w:i/>
              </w:rPr>
              <w:t>C</w:t>
            </w:r>
            <w:r w:rsidRPr="00CD0E38">
              <w:rPr>
                <w:i/>
              </w:rPr>
              <w:t>onstruction and maintenance costs</w:t>
            </w:r>
          </w:p>
        </w:tc>
        <w:tc>
          <w:tcPr>
            <w:tcW w:w="2310" w:type="dxa"/>
          </w:tcPr>
          <w:p w:rsidR="00A62C1C" w:rsidRPr="00A66928" w:rsidRDefault="009344E8" w:rsidP="009344E8">
            <w:pPr>
              <w:autoSpaceDE w:val="0"/>
              <w:autoSpaceDN w:val="0"/>
              <w:adjustRightInd w:val="0"/>
              <w:jc w:val="center"/>
              <w:rPr>
                <w:rFonts w:cstheme="minorHAnsi"/>
                <w:color w:val="000000"/>
              </w:rPr>
            </w:pPr>
            <w:r>
              <w:rPr>
                <w:rFonts w:cstheme="minorHAnsi"/>
                <w:color w:val="000000"/>
              </w:rPr>
              <w:t>●●</w:t>
            </w:r>
          </w:p>
        </w:tc>
        <w:tc>
          <w:tcPr>
            <w:tcW w:w="2311" w:type="dxa"/>
          </w:tcPr>
          <w:p w:rsidR="00A62C1C" w:rsidRPr="00A66928" w:rsidRDefault="009344E8" w:rsidP="009344E8">
            <w:pPr>
              <w:autoSpaceDE w:val="0"/>
              <w:autoSpaceDN w:val="0"/>
              <w:adjustRightInd w:val="0"/>
              <w:jc w:val="center"/>
              <w:rPr>
                <w:rFonts w:cstheme="minorHAnsi"/>
                <w:color w:val="000000"/>
              </w:rPr>
            </w:pPr>
            <w:r>
              <w:rPr>
                <w:rFonts w:cstheme="minorHAnsi"/>
                <w:color w:val="000000"/>
              </w:rPr>
              <w:t>●●</w:t>
            </w:r>
          </w:p>
        </w:tc>
      </w:tr>
      <w:tr w:rsidR="009344E8" w:rsidTr="00DA23AA">
        <w:tc>
          <w:tcPr>
            <w:tcW w:w="2310" w:type="dxa"/>
          </w:tcPr>
          <w:p w:rsidR="009344E8" w:rsidRPr="00A66928" w:rsidRDefault="009344E8" w:rsidP="00DA23AA">
            <w:pPr>
              <w:autoSpaceDE w:val="0"/>
              <w:autoSpaceDN w:val="0"/>
              <w:adjustRightInd w:val="0"/>
              <w:rPr>
                <w:rFonts w:cstheme="minorHAnsi"/>
                <w:i/>
                <w:color w:val="000000"/>
              </w:rPr>
            </w:pPr>
            <w:r>
              <w:rPr>
                <w:rFonts w:cstheme="minorHAnsi"/>
                <w:i/>
                <w:color w:val="000000"/>
              </w:rPr>
              <w:t>Additional water supply</w:t>
            </w:r>
          </w:p>
        </w:tc>
        <w:tc>
          <w:tcPr>
            <w:tcW w:w="2310" w:type="dxa"/>
          </w:tcPr>
          <w:p w:rsidR="009344E8" w:rsidRDefault="009344E8" w:rsidP="009344E8">
            <w:pPr>
              <w:jc w:val="center"/>
            </w:pPr>
            <w:r w:rsidRPr="00FA0F63">
              <w:rPr>
                <w:rFonts w:cstheme="minorHAnsi"/>
                <w:color w:val="000000"/>
              </w:rPr>
              <w:t>●</w:t>
            </w:r>
            <w:r>
              <w:rPr>
                <w:rFonts w:cstheme="minorHAnsi"/>
                <w:color w:val="000000"/>
              </w:rPr>
              <w:t>●○</w:t>
            </w:r>
          </w:p>
        </w:tc>
        <w:tc>
          <w:tcPr>
            <w:tcW w:w="2311" w:type="dxa"/>
          </w:tcPr>
          <w:p w:rsidR="009344E8" w:rsidRDefault="009344E8" w:rsidP="009344E8">
            <w:pPr>
              <w:jc w:val="center"/>
            </w:pPr>
            <w:r w:rsidRPr="00FA0F63">
              <w:rPr>
                <w:rFonts w:cstheme="minorHAnsi"/>
                <w:color w:val="000000"/>
              </w:rPr>
              <w:t>●</w:t>
            </w:r>
            <w:r>
              <w:rPr>
                <w:rFonts w:cstheme="minorHAnsi"/>
                <w:color w:val="000000"/>
              </w:rPr>
              <w:t>●○</w:t>
            </w:r>
          </w:p>
        </w:tc>
      </w:tr>
      <w:tr w:rsidR="00A62C1C" w:rsidTr="00DA23AA">
        <w:tc>
          <w:tcPr>
            <w:tcW w:w="2310" w:type="dxa"/>
          </w:tcPr>
          <w:p w:rsidR="00A62C1C" w:rsidRPr="00A66928" w:rsidRDefault="00A62C1C" w:rsidP="00DA23AA">
            <w:pPr>
              <w:autoSpaceDE w:val="0"/>
              <w:autoSpaceDN w:val="0"/>
              <w:adjustRightInd w:val="0"/>
              <w:rPr>
                <w:rFonts w:cstheme="minorHAnsi"/>
                <w:i/>
                <w:color w:val="000000"/>
              </w:rPr>
            </w:pPr>
            <w:r>
              <w:rPr>
                <w:rFonts w:cstheme="minorHAnsi"/>
                <w:i/>
                <w:color w:val="000000"/>
              </w:rPr>
              <w:t>Health benefits</w:t>
            </w:r>
          </w:p>
        </w:tc>
        <w:tc>
          <w:tcPr>
            <w:tcW w:w="2310" w:type="dxa"/>
          </w:tcPr>
          <w:p w:rsidR="00A62C1C" w:rsidRPr="00A66928" w:rsidRDefault="00A62C1C" w:rsidP="009344E8">
            <w:pPr>
              <w:autoSpaceDE w:val="0"/>
              <w:autoSpaceDN w:val="0"/>
              <w:adjustRightInd w:val="0"/>
              <w:jc w:val="center"/>
              <w:rPr>
                <w:rFonts w:cstheme="minorHAnsi"/>
                <w:color w:val="000000"/>
              </w:rPr>
            </w:pPr>
          </w:p>
        </w:tc>
        <w:tc>
          <w:tcPr>
            <w:tcW w:w="2311" w:type="dxa"/>
          </w:tcPr>
          <w:p w:rsidR="00A62C1C" w:rsidRPr="00A66928" w:rsidRDefault="009344E8" w:rsidP="009344E8">
            <w:pPr>
              <w:autoSpaceDE w:val="0"/>
              <w:autoSpaceDN w:val="0"/>
              <w:adjustRightInd w:val="0"/>
              <w:jc w:val="center"/>
              <w:rPr>
                <w:rFonts w:cstheme="minorHAnsi"/>
                <w:color w:val="000000"/>
              </w:rPr>
            </w:pPr>
            <w:r>
              <w:rPr>
                <w:rFonts w:cstheme="minorHAnsi"/>
                <w:color w:val="000000"/>
              </w:rPr>
              <w:t>●●●</w:t>
            </w:r>
          </w:p>
        </w:tc>
      </w:tr>
      <w:tr w:rsidR="00A62C1C" w:rsidTr="009344E8">
        <w:tc>
          <w:tcPr>
            <w:tcW w:w="2310" w:type="dxa"/>
          </w:tcPr>
          <w:p w:rsidR="00A62C1C" w:rsidRDefault="00A62C1C" w:rsidP="00DA23AA">
            <w:pPr>
              <w:autoSpaceDE w:val="0"/>
              <w:autoSpaceDN w:val="0"/>
              <w:adjustRightInd w:val="0"/>
              <w:rPr>
                <w:rFonts w:cstheme="minorHAnsi"/>
                <w:i/>
                <w:color w:val="000000"/>
              </w:rPr>
            </w:pPr>
            <w:r>
              <w:rPr>
                <w:rFonts w:cstheme="minorHAnsi"/>
                <w:i/>
                <w:color w:val="000000"/>
              </w:rPr>
              <w:t>Net benefit</w:t>
            </w:r>
          </w:p>
        </w:tc>
        <w:tc>
          <w:tcPr>
            <w:tcW w:w="2310" w:type="dxa"/>
            <w:shd w:val="clear" w:color="auto" w:fill="00B050"/>
          </w:tcPr>
          <w:p w:rsidR="00A62C1C" w:rsidRPr="00A66928" w:rsidRDefault="00A62C1C" w:rsidP="00DA23AA">
            <w:pPr>
              <w:autoSpaceDE w:val="0"/>
              <w:autoSpaceDN w:val="0"/>
              <w:adjustRightInd w:val="0"/>
              <w:rPr>
                <w:rFonts w:cstheme="minorHAnsi"/>
                <w:color w:val="000000"/>
              </w:rPr>
            </w:pPr>
          </w:p>
        </w:tc>
        <w:tc>
          <w:tcPr>
            <w:tcW w:w="2311" w:type="dxa"/>
            <w:shd w:val="clear" w:color="auto" w:fill="00B050"/>
          </w:tcPr>
          <w:p w:rsidR="00A62C1C" w:rsidRPr="00A66928" w:rsidRDefault="00A62C1C" w:rsidP="00DA23AA">
            <w:pPr>
              <w:autoSpaceDE w:val="0"/>
              <w:autoSpaceDN w:val="0"/>
              <w:adjustRightInd w:val="0"/>
              <w:rPr>
                <w:rFonts w:cstheme="minorHAnsi"/>
                <w:color w:val="000000"/>
              </w:rPr>
            </w:pPr>
          </w:p>
        </w:tc>
      </w:tr>
    </w:tbl>
    <w:p w:rsidR="00F17C28" w:rsidRDefault="00F17C28" w:rsidP="00F17C28">
      <w:pPr>
        <w:autoSpaceDE w:val="0"/>
        <w:autoSpaceDN w:val="0"/>
        <w:adjustRightInd w:val="0"/>
        <w:spacing w:after="0" w:line="240" w:lineRule="auto"/>
        <w:rPr>
          <w:rFonts w:ascii="DIN" w:hAnsi="DIN" w:cs="DIN"/>
          <w:color w:val="000000"/>
          <w:sz w:val="16"/>
          <w:szCs w:val="16"/>
        </w:rPr>
      </w:pPr>
    </w:p>
    <w:p w:rsidR="00F17C28" w:rsidRDefault="00F17C28" w:rsidP="00F17C28">
      <w:pPr>
        <w:autoSpaceDE w:val="0"/>
        <w:autoSpaceDN w:val="0"/>
        <w:adjustRightInd w:val="0"/>
        <w:spacing w:after="0" w:line="240" w:lineRule="auto"/>
        <w:rPr>
          <w:rFonts w:ascii="DIN" w:hAnsi="DIN" w:cs="DIN"/>
          <w:color w:val="000000"/>
          <w:sz w:val="16"/>
          <w:szCs w:val="16"/>
        </w:rPr>
      </w:pPr>
    </w:p>
    <w:p w:rsidR="00F17C28" w:rsidRPr="00787DF0" w:rsidRDefault="00F17C28" w:rsidP="00787DF0">
      <w:pPr>
        <w:rPr>
          <w:u w:val="single"/>
        </w:rPr>
      </w:pPr>
      <w:r w:rsidRPr="00787DF0">
        <w:rPr>
          <w:u w:val="single"/>
        </w:rPr>
        <w:t>Concluding Remarks and Recommendations</w:t>
      </w:r>
    </w:p>
    <w:p w:rsidR="00741A62" w:rsidRDefault="007747B1" w:rsidP="00F17C28">
      <w:r>
        <w:t xml:space="preserve">The preliminary analysis </w:t>
      </w:r>
      <w:r w:rsidR="00335BB9">
        <w:t xml:space="preserve">has been completed with information and data that is readily available. </w:t>
      </w:r>
    </w:p>
    <w:p w:rsidR="00335BB9" w:rsidRDefault="00335BB9" w:rsidP="00F17C28">
      <w:r>
        <w:t xml:space="preserve">This is sufficient to confidently demonstrate that relining the reservoir will generate a net benefit for the Majuro community (refer Table 1). Further, net benefits will accrue to low socio-economic groups in the </w:t>
      </w:r>
      <w:r w:rsidRPr="00415A2B">
        <w:rPr>
          <w:rFonts w:cstheme="minorHAnsi"/>
        </w:rPr>
        <w:t xml:space="preserve">Rairok and DUD area </w:t>
      </w:r>
      <w:r>
        <w:rPr>
          <w:rFonts w:cstheme="minorHAnsi"/>
        </w:rPr>
        <w:t xml:space="preserve">(refer Table 2). </w:t>
      </w:r>
      <w:r w:rsidRPr="00741A62">
        <w:rPr>
          <w:b/>
        </w:rPr>
        <w:t>It is recommended that (option 1) reline the reservoir be implemented.</w:t>
      </w:r>
      <w:r>
        <w:t xml:space="preserve">  </w:t>
      </w:r>
    </w:p>
    <w:p w:rsidR="00335BB9" w:rsidRDefault="00335BB9" w:rsidP="00F17C28">
      <w:r>
        <w:t>It is unclear from the preliminary analysis whether option 2 (evaporation cover) and option 3 (repair and replace leaking pipes) will generate a net benefit for the Majuro community</w:t>
      </w:r>
      <w:r w:rsidR="00741A62">
        <w:t xml:space="preserve"> (refer Table 1)</w:t>
      </w:r>
      <w:r>
        <w:t xml:space="preserve">. In particular, further analysis on the value of water is needed to </w:t>
      </w:r>
      <w:r w:rsidR="00741A62">
        <w:t>determine this</w:t>
      </w:r>
      <w:r>
        <w:t xml:space="preserve">. </w:t>
      </w:r>
      <w:r w:rsidR="00741A62" w:rsidRPr="00741A62">
        <w:rPr>
          <w:b/>
        </w:rPr>
        <w:t>It is recommended that more detailed analysis is undertaken for options 2 and 3.</w:t>
      </w:r>
    </w:p>
    <w:p w:rsidR="00741A62" w:rsidRDefault="00741A62" w:rsidP="00741A62">
      <w:r>
        <w:t xml:space="preserve">It is also important to note that a number of key causes and drivers of the water shortage problem in Majuro are not directly addressed by these efficiency measures (e.g. </w:t>
      </w:r>
      <w:r w:rsidRPr="00415A2B">
        <w:rPr>
          <w:rFonts w:cstheme="minorHAnsi"/>
        </w:rPr>
        <w:t xml:space="preserve">inadequate pricing and charging </w:t>
      </w:r>
      <w:r>
        <w:rPr>
          <w:rFonts w:cstheme="minorHAnsi"/>
        </w:rPr>
        <w:t xml:space="preserve">for public water supply services, and </w:t>
      </w:r>
      <w:r w:rsidRPr="00415A2B">
        <w:rPr>
          <w:rFonts w:cstheme="minorHAnsi"/>
        </w:rPr>
        <w:t>lack of public awareness</w:t>
      </w:r>
      <w:r>
        <w:rPr>
          <w:rFonts w:cstheme="minorHAnsi"/>
        </w:rPr>
        <w:t>)</w:t>
      </w:r>
      <w:r>
        <w:t xml:space="preserve">. To </w:t>
      </w:r>
      <w:r w:rsidR="00966F79">
        <w:t xml:space="preserve">properly address this water shortage problem, </w:t>
      </w:r>
      <w:r w:rsidR="00966F79">
        <w:rPr>
          <w:rFonts w:cstheme="minorHAnsi"/>
        </w:rPr>
        <w:t>demand-side measures should also be a focus of future water sector policies and projects, including education and awareness and pricing reforms. Demand-side measures help to provide the correct incentives needed for efficient use of water, and so that supply side measures are effective in reducing community vulnerability.</w:t>
      </w:r>
      <w:r w:rsidR="00966F79">
        <w:t xml:space="preserve"> </w:t>
      </w:r>
    </w:p>
    <w:p w:rsidR="00F17C28" w:rsidRDefault="00741A62" w:rsidP="00741A62">
      <w:r>
        <w:rPr>
          <w:u w:val="single"/>
        </w:rPr>
        <w:lastRenderedPageBreak/>
        <w:t>References</w:t>
      </w:r>
      <w:r w:rsidR="00F17C28">
        <w:t xml:space="preserve"> </w:t>
      </w:r>
    </w:p>
    <w:p w:rsidR="00966F79" w:rsidRPr="005B20F7" w:rsidRDefault="00966F79" w:rsidP="00966F79">
      <w:r w:rsidRPr="005B20F7">
        <w:rPr>
          <w:rFonts w:eastAsia="Times New Roman" w:cs="Times New Roman"/>
          <w:szCs w:val="24"/>
          <w:lang w:eastAsia="en-AU"/>
        </w:rPr>
        <w:t>ADB (2011a) “Strengthening the Capacity of Developing Member Countries to Respond to Climate Change. Baseline Report – Republic of the Marshall Islands.” Prepared by Kellogg Brown and Root Pty Ltd. 53 pp.</w:t>
      </w:r>
    </w:p>
    <w:p w:rsidR="00966F79" w:rsidRPr="005B20F7" w:rsidRDefault="00966F79" w:rsidP="00966F79">
      <w:r w:rsidRPr="005B20F7">
        <w:rPr>
          <w:rFonts w:eastAsia="Times New Roman" w:cs="Times New Roman"/>
          <w:szCs w:val="24"/>
          <w:lang w:eastAsia="en-AU"/>
        </w:rPr>
        <w:t>ADB (2011b) “Strengthening the Capacity of Developing Member Countries to Respond to Climate Change. Baseline Report – Draft Vulnerability Assessment Report – Republic of the Marshall Islands.” Prepared by Kellogg Brown and Root Pty Ltd. 75 pp.</w:t>
      </w:r>
    </w:p>
    <w:p w:rsidR="00966F79" w:rsidRPr="005B20F7" w:rsidRDefault="00966F79" w:rsidP="00966F79">
      <w:r w:rsidRPr="005B20F7">
        <w:rPr>
          <w:rFonts w:eastAsia="Times New Roman" w:cs="Times New Roman"/>
          <w:szCs w:val="24"/>
          <w:lang w:eastAsia="en-AU"/>
        </w:rPr>
        <w:t>ADB (2011c) “Strengthening the Capacity of Developing Member Countries to Respond to Climate Change. Baseline Report – Draft Adaptation Concept Design Report – Republic of the Marshall Islands.” Prepared by Kellogg Brown and Root Pty Ltd. 49 pp.</w:t>
      </w:r>
    </w:p>
    <w:p w:rsidR="00966F79" w:rsidRPr="006C36B0" w:rsidRDefault="00966F79" w:rsidP="00966F79">
      <w:r w:rsidRPr="005B20F7">
        <w:rPr>
          <w:rFonts w:eastAsia="Times New Roman" w:cs="Times New Roman"/>
          <w:szCs w:val="24"/>
          <w:lang w:eastAsia="en-AU"/>
        </w:rPr>
        <w:t>EPPSO (2010). “</w:t>
      </w:r>
      <w:r w:rsidRPr="005B20F7">
        <w:rPr>
          <w:rFonts w:eastAsia="Cambria" w:cs="Times New Roman"/>
          <w:szCs w:val="24"/>
          <w:lang w:eastAsia="en-AU"/>
        </w:rPr>
        <w:t>Majuro and Kwajalein Atoll Household Water Survey Report</w:t>
      </w:r>
      <w:r w:rsidRPr="005B20F7">
        <w:rPr>
          <w:rFonts w:eastAsia="Times New Roman" w:cs="Times New Roman"/>
          <w:szCs w:val="24"/>
          <w:lang w:eastAsia="en-AU"/>
        </w:rPr>
        <w:t>.” Draft. 64 pp.</w:t>
      </w:r>
    </w:p>
    <w:p w:rsidR="00966F79" w:rsidRDefault="00966F79" w:rsidP="00966F79">
      <w:r>
        <w:t>MWSC (2012). Engineer’s report on evaporation estimates from reservoirs. Microsoft Word document.</w:t>
      </w:r>
    </w:p>
    <w:p w:rsidR="00966F79" w:rsidRPr="006C36B0" w:rsidRDefault="00966F79" w:rsidP="00966F79">
      <w:r w:rsidRPr="005B20F7">
        <w:rPr>
          <w:rFonts w:eastAsia="Times New Roman" w:cs="Times New Roman"/>
          <w:szCs w:val="24"/>
          <w:lang w:eastAsia="en-AU"/>
        </w:rPr>
        <w:t xml:space="preserve">Pacific Climate Change Science Program (PCCSP) (2011). “Chapter 7: Marshall Islands.” In </w:t>
      </w:r>
      <w:r w:rsidRPr="005B20F7">
        <w:rPr>
          <w:rFonts w:eastAsia="Times New Roman" w:cs="Times New Roman"/>
          <w:i/>
          <w:szCs w:val="24"/>
          <w:lang w:eastAsia="en-AU"/>
        </w:rPr>
        <w:t>Climate change in the Pacific: Scientific assessment and new research. Volume 2: Country Reports.</w:t>
      </w:r>
      <w:r w:rsidRPr="005B20F7">
        <w:rPr>
          <w:rFonts w:eastAsia="Times New Roman" w:cs="Times New Roman"/>
          <w:szCs w:val="24"/>
          <w:lang w:eastAsia="en-AU"/>
        </w:rPr>
        <w:t xml:space="preserve"> p. 111 – 127.</w:t>
      </w:r>
    </w:p>
    <w:p w:rsidR="00966F79" w:rsidRPr="006C36B0" w:rsidRDefault="00966F79" w:rsidP="00966F79">
      <w:r w:rsidRPr="006C36B0">
        <w:t>SOPAC (unknown date a). “Desalination in the Pacific Island Countries.” Technical Report No. 437. 49 pp.</w:t>
      </w:r>
    </w:p>
    <w:p w:rsidR="00966F79" w:rsidRPr="006C36B0" w:rsidRDefault="00966F79" w:rsidP="00966F79">
      <w:r w:rsidRPr="006C36B0">
        <w:t>SOPAC (unknown date b). “Water Demand Management: Leakage assessment and detection in Majuro, RMI.” SOPAC Technical Report 347.</w:t>
      </w:r>
    </w:p>
    <w:p w:rsidR="00966F79" w:rsidRPr="005B20F7" w:rsidRDefault="00966F79" w:rsidP="00966F79">
      <w:r w:rsidRPr="005B20F7">
        <w:rPr>
          <w:rFonts w:eastAsia="Times New Roman" w:cs="Times New Roman"/>
          <w:szCs w:val="24"/>
          <w:lang w:eastAsia="en-AU"/>
        </w:rPr>
        <w:t>SOPAC (2007). “National Integrated Water Resource Management Diagnostic Report</w:t>
      </w:r>
      <w:r w:rsidRPr="005B20F7">
        <w:rPr>
          <w:rFonts w:eastAsia="Times New Roman" w:cs="Times New Roman"/>
          <w:szCs w:val="28"/>
          <w:lang w:eastAsia="en-AU"/>
        </w:rPr>
        <w:t xml:space="preserve"> RMI.” SOPAC Miscellaneous Report 639. 51 pp.</w:t>
      </w:r>
    </w:p>
    <w:p w:rsidR="00966F79" w:rsidRPr="005B20F7" w:rsidRDefault="00966F79" w:rsidP="005B20F7">
      <w:r w:rsidRPr="005B20F7">
        <w:rPr>
          <w:rFonts w:eastAsia="Times New Roman" w:cs="Times New Roman"/>
          <w:szCs w:val="24"/>
          <w:lang w:eastAsia="en-AU"/>
        </w:rPr>
        <w:t>USAID (2009). “Adaptation to climate change. Case study – Freshwater resources in Majuro RMI.” 69 pp.</w:t>
      </w:r>
    </w:p>
    <w:p w:rsidR="00DA23AA" w:rsidRDefault="00DA23AA" w:rsidP="00DA23AA">
      <w:pPr>
        <w:spacing w:line="269" w:lineRule="auto"/>
        <w:rPr>
          <w:rFonts w:cstheme="minorHAnsi"/>
          <w:u w:val="single"/>
        </w:rPr>
      </w:pPr>
      <w:r w:rsidRPr="00DA23AA">
        <w:rPr>
          <w:u w:val="single"/>
        </w:rPr>
        <w:t xml:space="preserve">Appendix 1: </w:t>
      </w:r>
      <w:r w:rsidRPr="00DA23AA">
        <w:rPr>
          <w:rFonts w:cstheme="minorHAnsi"/>
          <w:u w:val="single"/>
        </w:rPr>
        <w:t xml:space="preserve">Data </w:t>
      </w:r>
      <w:r w:rsidR="00741A62">
        <w:rPr>
          <w:rFonts w:cstheme="minorHAnsi"/>
          <w:u w:val="single"/>
        </w:rPr>
        <w:t>and assumptions for calculating (i) construction and maintenance costs, and (ii) </w:t>
      </w:r>
      <w:r w:rsidRPr="00DA23AA">
        <w:rPr>
          <w:rFonts w:cstheme="minorHAnsi"/>
          <w:u w:val="single"/>
        </w:rPr>
        <w:t xml:space="preserve">quantity of additional water supply for project options. </w:t>
      </w:r>
    </w:p>
    <w:p w:rsidR="00693793" w:rsidRPr="009B0420" w:rsidRDefault="00693793" w:rsidP="00693793">
      <w:pPr>
        <w:pStyle w:val="Caption"/>
      </w:pPr>
      <w:r>
        <w:t xml:space="preserve">Table </w:t>
      </w:r>
      <w:fldSimple w:instr=" SEQ Table \* ARABIC ">
        <w:r w:rsidR="007747B1">
          <w:rPr>
            <w:noProof/>
          </w:rPr>
          <w:t>3</w:t>
        </w:r>
      </w:fldSimple>
      <w:r>
        <w:t>: Construction and maintenance costs for each project option</w:t>
      </w:r>
    </w:p>
    <w:tbl>
      <w:tblPr>
        <w:tblStyle w:val="TableGrid"/>
        <w:tblW w:w="0" w:type="auto"/>
        <w:tblLook w:val="04A0"/>
      </w:tblPr>
      <w:tblGrid>
        <w:gridCol w:w="2518"/>
        <w:gridCol w:w="6724"/>
      </w:tblGrid>
      <w:tr w:rsidR="00693793" w:rsidRPr="007B0FDD" w:rsidTr="00C01277">
        <w:tc>
          <w:tcPr>
            <w:tcW w:w="2518" w:type="dxa"/>
          </w:tcPr>
          <w:p w:rsidR="00693793" w:rsidRPr="007B0FDD" w:rsidRDefault="00693793" w:rsidP="00C01277">
            <w:pPr>
              <w:spacing w:after="200" w:line="269" w:lineRule="auto"/>
              <w:rPr>
                <w:rFonts w:cstheme="minorHAnsi"/>
              </w:rPr>
            </w:pPr>
            <w:r w:rsidRPr="007B0FDD">
              <w:rPr>
                <w:rFonts w:cstheme="minorHAnsi"/>
              </w:rPr>
              <w:t>Option</w:t>
            </w:r>
          </w:p>
        </w:tc>
        <w:tc>
          <w:tcPr>
            <w:tcW w:w="6724" w:type="dxa"/>
          </w:tcPr>
          <w:p w:rsidR="00693793" w:rsidRPr="007B0FDD" w:rsidRDefault="00693793" w:rsidP="00C01277">
            <w:pPr>
              <w:spacing w:after="200" w:line="269" w:lineRule="auto"/>
              <w:rPr>
                <w:rFonts w:cstheme="minorHAnsi"/>
              </w:rPr>
            </w:pPr>
            <w:r w:rsidRPr="007B0FDD">
              <w:rPr>
                <w:rFonts w:cstheme="minorHAnsi"/>
              </w:rPr>
              <w:t>Cost</w:t>
            </w:r>
          </w:p>
        </w:tc>
      </w:tr>
      <w:tr w:rsidR="00693793" w:rsidRPr="007B0FDD" w:rsidTr="00C01277">
        <w:tc>
          <w:tcPr>
            <w:tcW w:w="2518" w:type="dxa"/>
          </w:tcPr>
          <w:p w:rsidR="00693793" w:rsidRPr="007B0FDD" w:rsidRDefault="00693793" w:rsidP="00C01277">
            <w:pPr>
              <w:spacing w:after="200" w:line="269" w:lineRule="auto"/>
              <w:rPr>
                <w:rFonts w:cstheme="minorHAnsi"/>
              </w:rPr>
            </w:pPr>
            <w:r w:rsidRPr="007B0FDD">
              <w:rPr>
                <w:rFonts w:cstheme="minorHAnsi"/>
              </w:rPr>
              <w:t>1. Reline reservoir</w:t>
            </w:r>
          </w:p>
        </w:tc>
        <w:tc>
          <w:tcPr>
            <w:tcW w:w="6724" w:type="dxa"/>
          </w:tcPr>
          <w:p w:rsidR="00693793" w:rsidRPr="007B0FDD" w:rsidRDefault="00693793" w:rsidP="00C01277">
            <w:pPr>
              <w:rPr>
                <w:rFonts w:cstheme="minorHAnsi"/>
              </w:rPr>
            </w:pPr>
            <w:r w:rsidRPr="007B0FDD">
              <w:rPr>
                <w:rFonts w:cstheme="minorHAnsi"/>
              </w:rPr>
              <w:t>Construction costs is estimated at $123,781</w:t>
            </w:r>
            <w:r w:rsidR="004B3B3E">
              <w:rPr>
                <w:rFonts w:cstheme="minorHAnsi"/>
              </w:rPr>
              <w:t xml:space="preserve"> for</w:t>
            </w:r>
            <w:r w:rsidRPr="007B0FDD">
              <w:rPr>
                <w:rFonts w:cstheme="minorHAnsi"/>
              </w:rPr>
              <w:t xml:space="preserve"> the current system (Fabtech)</w:t>
            </w:r>
            <w:r w:rsidR="00BA0CB0" w:rsidRPr="007B0FDD">
              <w:rPr>
                <w:rFonts w:cstheme="minorHAnsi"/>
              </w:rPr>
              <w:t xml:space="preserve">. </w:t>
            </w:r>
          </w:p>
          <w:p w:rsidR="00693793" w:rsidRPr="007B0FDD" w:rsidRDefault="00693793" w:rsidP="00C01277">
            <w:pPr>
              <w:rPr>
                <w:rFonts w:cstheme="minorHAnsi"/>
              </w:rPr>
            </w:pPr>
          </w:p>
          <w:p w:rsidR="00693793" w:rsidRPr="007B0FDD" w:rsidRDefault="00693793" w:rsidP="00C01277">
            <w:pPr>
              <w:rPr>
                <w:rFonts w:cstheme="minorHAnsi"/>
              </w:rPr>
            </w:pPr>
            <w:r w:rsidRPr="007B0FDD">
              <w:rPr>
                <w:rFonts w:cstheme="minorHAnsi"/>
              </w:rPr>
              <w:t>Annual materials and labour costs for maintenance are $35 and $43 respectively (Fabtech, MWSC)</w:t>
            </w:r>
            <w:r w:rsidR="00BA0CB0" w:rsidRPr="007B0FDD">
              <w:rPr>
                <w:rFonts w:cstheme="minorHAnsi"/>
              </w:rPr>
              <w:t xml:space="preserve">. </w:t>
            </w:r>
          </w:p>
          <w:p w:rsidR="00693793" w:rsidRPr="007B0FDD" w:rsidRDefault="00693793" w:rsidP="00C01277">
            <w:pPr>
              <w:rPr>
                <w:rFonts w:cstheme="minorHAnsi"/>
              </w:rPr>
            </w:pPr>
          </w:p>
          <w:p w:rsidR="00693793" w:rsidRPr="007B0FDD" w:rsidRDefault="00693793" w:rsidP="00C01277">
            <w:pPr>
              <w:rPr>
                <w:rFonts w:cstheme="minorHAnsi"/>
              </w:rPr>
            </w:pPr>
            <w:r w:rsidRPr="007B0FDD">
              <w:rPr>
                <w:rFonts w:cstheme="minorHAnsi"/>
              </w:rPr>
              <w:t>The liner is expected to last 30 years (Fabtech, MWSC)</w:t>
            </w:r>
            <w:r w:rsidR="00BA0CB0" w:rsidRPr="007B0FDD">
              <w:rPr>
                <w:rFonts w:cstheme="minorHAnsi"/>
              </w:rPr>
              <w:t xml:space="preserve">. </w:t>
            </w:r>
          </w:p>
        </w:tc>
      </w:tr>
      <w:tr w:rsidR="00693793" w:rsidRPr="007B0FDD" w:rsidTr="00C01277">
        <w:tc>
          <w:tcPr>
            <w:tcW w:w="2518" w:type="dxa"/>
          </w:tcPr>
          <w:p w:rsidR="00693793" w:rsidRPr="007B0FDD" w:rsidRDefault="00693793" w:rsidP="00C01277">
            <w:pPr>
              <w:spacing w:after="200" w:line="269" w:lineRule="auto"/>
              <w:rPr>
                <w:rFonts w:cstheme="minorHAnsi"/>
              </w:rPr>
            </w:pPr>
            <w:r w:rsidRPr="007B0FDD">
              <w:rPr>
                <w:rFonts w:cstheme="minorHAnsi"/>
              </w:rPr>
              <w:t>2. Evaporation cover</w:t>
            </w:r>
          </w:p>
        </w:tc>
        <w:tc>
          <w:tcPr>
            <w:tcW w:w="6724" w:type="dxa"/>
          </w:tcPr>
          <w:p w:rsidR="00693793" w:rsidRPr="007B0FDD" w:rsidRDefault="00693793" w:rsidP="00C01277">
            <w:pPr>
              <w:spacing w:after="200" w:line="269" w:lineRule="auto"/>
              <w:rPr>
                <w:rFonts w:cstheme="minorHAnsi"/>
              </w:rPr>
            </w:pPr>
            <w:r w:rsidRPr="007B0FDD">
              <w:rPr>
                <w:rFonts w:cstheme="minorHAnsi"/>
              </w:rPr>
              <w:t xml:space="preserve">Construction cost is estimated at $50,873 for tank 3 of the current </w:t>
            </w:r>
            <w:r w:rsidRPr="007B0FDD">
              <w:rPr>
                <w:rFonts w:cstheme="minorHAnsi"/>
              </w:rPr>
              <w:lastRenderedPageBreak/>
              <w:t>system (Fabtech)</w:t>
            </w:r>
            <w:r w:rsidR="00BA0CB0" w:rsidRPr="007B0FDD">
              <w:rPr>
                <w:rFonts w:cstheme="minorHAnsi"/>
              </w:rPr>
              <w:t xml:space="preserve">. </w:t>
            </w:r>
          </w:p>
          <w:p w:rsidR="00693793" w:rsidRPr="007B0FDD" w:rsidRDefault="00693793" w:rsidP="00C01277">
            <w:pPr>
              <w:rPr>
                <w:rFonts w:cstheme="minorHAnsi"/>
              </w:rPr>
            </w:pPr>
            <w:r w:rsidRPr="007B0FDD">
              <w:rPr>
                <w:rFonts w:cstheme="minorHAnsi"/>
              </w:rPr>
              <w:t>Annual materials and labour costs for maintenance are $98 and $47 respectively (Fabtech, MWSC)</w:t>
            </w:r>
            <w:r w:rsidR="00BA0CB0" w:rsidRPr="007B0FDD">
              <w:rPr>
                <w:rFonts w:cstheme="minorHAnsi"/>
              </w:rPr>
              <w:t xml:space="preserve">. </w:t>
            </w:r>
          </w:p>
          <w:p w:rsidR="00693793" w:rsidRPr="007B0FDD" w:rsidRDefault="00693793" w:rsidP="00C01277">
            <w:pPr>
              <w:rPr>
                <w:rFonts w:cstheme="minorHAnsi"/>
              </w:rPr>
            </w:pPr>
          </w:p>
          <w:p w:rsidR="00693793" w:rsidRPr="007B0FDD" w:rsidRDefault="00693793" w:rsidP="00C01277">
            <w:pPr>
              <w:rPr>
                <w:rFonts w:cstheme="minorHAnsi"/>
              </w:rPr>
            </w:pPr>
            <w:r w:rsidRPr="007B0FDD">
              <w:rPr>
                <w:rFonts w:cstheme="minorHAnsi"/>
              </w:rPr>
              <w:t>The evaporation cover is expected to last 30 years (Fabtech, MWSC)</w:t>
            </w:r>
            <w:r w:rsidR="00BA0CB0" w:rsidRPr="007B0FDD">
              <w:rPr>
                <w:rFonts w:cstheme="minorHAnsi"/>
              </w:rPr>
              <w:t xml:space="preserve">. </w:t>
            </w:r>
          </w:p>
        </w:tc>
      </w:tr>
      <w:tr w:rsidR="00693793" w:rsidRPr="007B0FDD" w:rsidTr="00C01277">
        <w:tc>
          <w:tcPr>
            <w:tcW w:w="2518" w:type="dxa"/>
          </w:tcPr>
          <w:p w:rsidR="00693793" w:rsidRPr="007B0FDD" w:rsidRDefault="00693793" w:rsidP="00C01277">
            <w:pPr>
              <w:spacing w:after="200" w:line="269" w:lineRule="auto"/>
              <w:rPr>
                <w:rFonts w:cstheme="minorHAnsi"/>
              </w:rPr>
            </w:pPr>
            <w:r w:rsidRPr="007B0FDD">
              <w:rPr>
                <w:rFonts w:cstheme="minorHAnsi"/>
              </w:rPr>
              <w:lastRenderedPageBreak/>
              <w:t>3. Repair and replace leaking pipes</w:t>
            </w:r>
          </w:p>
        </w:tc>
        <w:tc>
          <w:tcPr>
            <w:tcW w:w="6724" w:type="dxa"/>
          </w:tcPr>
          <w:p w:rsidR="00693793" w:rsidRPr="007B0FDD" w:rsidRDefault="00693793" w:rsidP="00C01277">
            <w:pPr>
              <w:rPr>
                <w:rFonts w:cstheme="minorHAnsi"/>
              </w:rPr>
            </w:pPr>
            <w:r w:rsidRPr="007B0FDD">
              <w:rPr>
                <w:rFonts w:cstheme="minorHAnsi"/>
              </w:rPr>
              <w:t>Material and labour costs for construction are estimated at $267,080 and $192,298 respectively (MWSC)</w:t>
            </w:r>
            <w:r w:rsidR="00BA0CB0" w:rsidRPr="007B0FDD">
              <w:rPr>
                <w:rFonts w:cstheme="minorHAnsi"/>
              </w:rPr>
              <w:t xml:space="preserve">. </w:t>
            </w:r>
          </w:p>
          <w:p w:rsidR="00693793" w:rsidRPr="007B0FDD" w:rsidRDefault="00693793" w:rsidP="00C01277">
            <w:pPr>
              <w:rPr>
                <w:rFonts w:cstheme="minorHAnsi"/>
              </w:rPr>
            </w:pPr>
          </w:p>
          <w:p w:rsidR="00693793" w:rsidRPr="007B0FDD" w:rsidRDefault="00693793" w:rsidP="00C01277">
            <w:pPr>
              <w:rPr>
                <w:rFonts w:cstheme="minorHAnsi"/>
              </w:rPr>
            </w:pPr>
            <w:r w:rsidRPr="007B0FDD">
              <w:rPr>
                <w:rFonts w:cstheme="minorHAnsi"/>
              </w:rPr>
              <w:t>Annual materials and labour costs for maintenance are $26,708 and $64,099 respectively (MWSC)</w:t>
            </w:r>
            <w:r w:rsidR="00BA0CB0" w:rsidRPr="007B0FDD">
              <w:rPr>
                <w:rFonts w:cstheme="minorHAnsi"/>
              </w:rPr>
              <w:t>.</w:t>
            </w:r>
          </w:p>
          <w:p w:rsidR="00693793" w:rsidRPr="007B0FDD" w:rsidRDefault="00693793" w:rsidP="00C01277">
            <w:pPr>
              <w:rPr>
                <w:rFonts w:cstheme="minorHAnsi"/>
              </w:rPr>
            </w:pPr>
          </w:p>
          <w:p w:rsidR="00693793" w:rsidRPr="007B0FDD" w:rsidRDefault="00693793" w:rsidP="00C01277">
            <w:pPr>
              <w:rPr>
                <w:rFonts w:cstheme="minorHAnsi"/>
              </w:rPr>
            </w:pPr>
            <w:r w:rsidRPr="007B0FDD">
              <w:rPr>
                <w:rFonts w:cstheme="minorHAnsi"/>
              </w:rPr>
              <w:t xml:space="preserve">The repaired and replaced pipes are expected to last 30 years (MWSC). </w:t>
            </w:r>
          </w:p>
        </w:tc>
      </w:tr>
    </w:tbl>
    <w:p w:rsidR="007747B1" w:rsidRDefault="007747B1" w:rsidP="007747B1">
      <w:pPr>
        <w:pStyle w:val="Caption"/>
      </w:pPr>
    </w:p>
    <w:p w:rsidR="00693793" w:rsidRPr="007B0FDD" w:rsidRDefault="007747B1" w:rsidP="007747B1">
      <w:pPr>
        <w:pStyle w:val="Caption"/>
        <w:rPr>
          <w:rFonts w:cstheme="minorHAnsi"/>
          <w:u w:val="single"/>
        </w:rPr>
      </w:pPr>
      <w:r>
        <w:t xml:space="preserve">Table </w:t>
      </w:r>
      <w:fldSimple w:instr=" SEQ Table \* ARABIC ">
        <w:r>
          <w:rPr>
            <w:noProof/>
          </w:rPr>
          <w:t>4</w:t>
        </w:r>
      </w:fldSimple>
      <w:r>
        <w:t xml:space="preserve"> Calculations for water savings for each project option</w:t>
      </w:r>
    </w:p>
    <w:tbl>
      <w:tblPr>
        <w:tblStyle w:val="TableGrid"/>
        <w:tblW w:w="0" w:type="auto"/>
        <w:tblLook w:val="04A0"/>
      </w:tblPr>
      <w:tblGrid>
        <w:gridCol w:w="2518"/>
        <w:gridCol w:w="6662"/>
      </w:tblGrid>
      <w:tr w:rsidR="00DA23AA" w:rsidRPr="007B0FDD" w:rsidTr="00DA23AA">
        <w:tc>
          <w:tcPr>
            <w:tcW w:w="2518" w:type="dxa"/>
          </w:tcPr>
          <w:p w:rsidR="00DA23AA" w:rsidRPr="007B0FDD" w:rsidRDefault="00DA23AA" w:rsidP="00DA23AA">
            <w:pPr>
              <w:spacing w:after="200" w:line="269" w:lineRule="auto"/>
              <w:rPr>
                <w:rFonts w:cstheme="minorHAnsi"/>
              </w:rPr>
            </w:pPr>
            <w:r w:rsidRPr="007B0FDD">
              <w:rPr>
                <w:rFonts w:cstheme="minorHAnsi"/>
              </w:rPr>
              <w:t>Option</w:t>
            </w:r>
          </w:p>
        </w:tc>
        <w:tc>
          <w:tcPr>
            <w:tcW w:w="6662" w:type="dxa"/>
          </w:tcPr>
          <w:p w:rsidR="00DA23AA" w:rsidRPr="007B0FDD" w:rsidRDefault="00DA23AA" w:rsidP="00DA23AA">
            <w:pPr>
              <w:spacing w:after="200" w:line="269" w:lineRule="auto"/>
              <w:rPr>
                <w:rFonts w:cstheme="minorHAnsi"/>
              </w:rPr>
            </w:pPr>
            <w:r w:rsidRPr="007B0FDD">
              <w:rPr>
                <w:rFonts w:cstheme="minorHAnsi"/>
              </w:rPr>
              <w:t>Data and assumptions for calculating quantity of additional supply</w:t>
            </w:r>
          </w:p>
        </w:tc>
      </w:tr>
      <w:tr w:rsidR="00DA23AA" w:rsidRPr="007B0FDD" w:rsidTr="00DA23AA">
        <w:tc>
          <w:tcPr>
            <w:tcW w:w="2518" w:type="dxa"/>
          </w:tcPr>
          <w:p w:rsidR="00DA23AA" w:rsidRPr="007B0FDD" w:rsidRDefault="00DA23AA" w:rsidP="00DA23AA">
            <w:pPr>
              <w:spacing w:after="200" w:line="269" w:lineRule="auto"/>
              <w:rPr>
                <w:rFonts w:cstheme="minorHAnsi"/>
              </w:rPr>
            </w:pPr>
            <w:r w:rsidRPr="007B0FDD">
              <w:rPr>
                <w:rFonts w:cstheme="minorHAnsi"/>
              </w:rPr>
              <w:t>1. Reline reservoir</w:t>
            </w:r>
          </w:p>
        </w:tc>
        <w:tc>
          <w:tcPr>
            <w:tcW w:w="6662" w:type="dxa"/>
          </w:tcPr>
          <w:p w:rsidR="00DA23AA" w:rsidRPr="007B0FDD" w:rsidRDefault="00DA23AA" w:rsidP="00DA23AA">
            <w:pPr>
              <w:rPr>
                <w:rFonts w:cstheme="minorHAnsi"/>
              </w:rPr>
            </w:pPr>
            <w:r w:rsidRPr="007B0FDD">
              <w:rPr>
                <w:rFonts w:cstheme="minorHAnsi"/>
              </w:rPr>
              <w:t>Current leakage from tank 4 is estimated to be 49,964 m</w:t>
            </w:r>
            <w:r w:rsidRPr="007B0FDD">
              <w:rPr>
                <w:rFonts w:cstheme="minorHAnsi"/>
                <w:vertAlign w:val="superscript"/>
              </w:rPr>
              <w:t>3</w:t>
            </w:r>
            <w:r w:rsidRPr="007B0FDD">
              <w:rPr>
                <w:rFonts w:cstheme="minorHAnsi"/>
              </w:rPr>
              <w:t xml:space="preserve"> a year. </w:t>
            </w:r>
          </w:p>
          <w:p w:rsidR="00DA23AA" w:rsidRPr="007B0FDD" w:rsidRDefault="00DA23AA" w:rsidP="00DA23AA">
            <w:pPr>
              <w:rPr>
                <w:rFonts w:cstheme="minorHAnsi"/>
              </w:rPr>
            </w:pPr>
            <w:r w:rsidRPr="007B0FDD">
              <w:rPr>
                <w:rFonts w:cstheme="minorHAnsi"/>
              </w:rPr>
              <w:t>This is based on two tests run by MWSC (first between June 29-July 1, 2012, second 2–4 July 2012). Water loss was calculated as: tank surface area (3,456 m</w:t>
            </w:r>
            <w:r w:rsidRPr="007B0FDD">
              <w:rPr>
                <w:rFonts w:eastAsia="Times New Roman" w:cstheme="minorHAnsi"/>
                <w:vertAlign w:val="superscript"/>
                <w:lang w:eastAsia="en-AU"/>
              </w:rPr>
              <w:t>2</w:t>
            </w:r>
            <w:r w:rsidRPr="007B0FDD">
              <w:rPr>
                <w:rFonts w:cstheme="minorHAnsi"/>
              </w:rPr>
              <w:t>) x change in height (0.04 m</w:t>
            </w:r>
            <w:r w:rsidRPr="007B0FDD">
              <w:rPr>
                <w:rFonts w:eastAsia="Times New Roman" w:cstheme="minorHAnsi"/>
                <w:vertAlign w:val="superscript"/>
                <w:lang w:eastAsia="en-AU"/>
              </w:rPr>
              <w:t>2</w:t>
            </w:r>
            <w:r w:rsidRPr="007B0FDD">
              <w:rPr>
                <w:rFonts w:cstheme="minorHAnsi"/>
              </w:rPr>
              <w:t>) – evaporation rate for tank (12 m</w:t>
            </w:r>
            <w:r w:rsidRPr="007B0FDD">
              <w:rPr>
                <w:rFonts w:eastAsia="Times New Roman" w:cstheme="minorHAnsi"/>
                <w:vertAlign w:val="superscript"/>
                <w:lang w:eastAsia="en-AU"/>
              </w:rPr>
              <w:t>3</w:t>
            </w:r>
            <w:r w:rsidRPr="007B0FDD">
              <w:rPr>
                <w:rFonts w:cstheme="minorHAnsi"/>
              </w:rPr>
              <w:t>/day) + rainfall capture for tank (18.61 m</w:t>
            </w:r>
            <w:r w:rsidRPr="007B0FDD">
              <w:rPr>
                <w:rFonts w:eastAsia="Times New Roman" w:cstheme="minorHAnsi"/>
                <w:vertAlign w:val="superscript"/>
                <w:lang w:eastAsia="en-AU"/>
              </w:rPr>
              <w:t>3</w:t>
            </w:r>
            <w:r w:rsidRPr="007B0FDD">
              <w:rPr>
                <w:rFonts w:cstheme="minorHAnsi"/>
              </w:rPr>
              <w:t>/day) x number of days in 1 year (365). This level of leakage is assumed to continue for the next 30 years.</w:t>
            </w:r>
          </w:p>
          <w:p w:rsidR="00DA23AA" w:rsidRPr="007B0FDD" w:rsidRDefault="00DA23AA" w:rsidP="00DA23AA">
            <w:pPr>
              <w:rPr>
                <w:rFonts w:cstheme="minorHAnsi"/>
              </w:rPr>
            </w:pPr>
          </w:p>
          <w:p w:rsidR="00DA23AA" w:rsidRPr="007B0FDD" w:rsidRDefault="00DA23AA" w:rsidP="00DA23AA">
            <w:pPr>
              <w:rPr>
                <w:rFonts w:cstheme="minorHAnsi"/>
              </w:rPr>
            </w:pPr>
            <w:r w:rsidRPr="007B0FDD">
              <w:rPr>
                <w:rFonts w:cstheme="minorHAnsi"/>
              </w:rPr>
              <w:t xml:space="preserve">The new liner is assumed to reduce leakage losses altogether. </w:t>
            </w:r>
          </w:p>
        </w:tc>
      </w:tr>
      <w:tr w:rsidR="00DA23AA" w:rsidRPr="007B0FDD" w:rsidTr="00DA23AA">
        <w:tc>
          <w:tcPr>
            <w:tcW w:w="2518" w:type="dxa"/>
          </w:tcPr>
          <w:p w:rsidR="00DA23AA" w:rsidRPr="007B0FDD" w:rsidRDefault="00DA23AA" w:rsidP="00DA23AA">
            <w:pPr>
              <w:spacing w:after="200" w:line="269" w:lineRule="auto"/>
              <w:rPr>
                <w:rFonts w:cstheme="minorHAnsi"/>
              </w:rPr>
            </w:pPr>
            <w:r w:rsidRPr="007B0FDD">
              <w:rPr>
                <w:rFonts w:cstheme="minorHAnsi"/>
              </w:rPr>
              <w:t>2. Evaporation cover</w:t>
            </w:r>
          </w:p>
        </w:tc>
        <w:tc>
          <w:tcPr>
            <w:tcW w:w="6662" w:type="dxa"/>
          </w:tcPr>
          <w:p w:rsidR="00DA23AA" w:rsidRPr="007B0FDD" w:rsidRDefault="00DA23AA" w:rsidP="00DA23AA">
            <w:pPr>
              <w:rPr>
                <w:rFonts w:cstheme="minorHAnsi"/>
              </w:rPr>
            </w:pPr>
            <w:r w:rsidRPr="007B0FDD">
              <w:rPr>
                <w:rFonts w:cstheme="minorHAnsi"/>
              </w:rPr>
              <w:t>Current evaporation from tank 3 is estimated to be 4,704 m</w:t>
            </w:r>
            <w:r w:rsidRPr="007B0FDD">
              <w:rPr>
                <w:rFonts w:cstheme="minorHAnsi"/>
                <w:vertAlign w:val="superscript"/>
              </w:rPr>
              <w:t>3</w:t>
            </w:r>
            <w:r w:rsidRPr="007B0FDD">
              <w:rPr>
                <w:rFonts w:cstheme="minorHAnsi"/>
              </w:rPr>
              <w:t xml:space="preserve"> a year. This is calculated by multiplying the surface area of tank 3 (3,790 m</w:t>
            </w:r>
            <w:r w:rsidRPr="007B0FDD">
              <w:rPr>
                <w:rFonts w:eastAsia="Times New Roman" w:cstheme="minorHAnsi"/>
                <w:vertAlign w:val="superscript"/>
                <w:lang w:eastAsia="en-AU"/>
              </w:rPr>
              <w:t>2</w:t>
            </w:r>
            <w:r w:rsidRPr="007B0FDD">
              <w:rPr>
                <w:rFonts w:cstheme="minorHAnsi"/>
              </w:rPr>
              <w:t>; MWSC)</w:t>
            </w:r>
            <w:r w:rsidRPr="007B0FDD">
              <w:rPr>
                <w:rStyle w:val="FootnoteReference"/>
                <w:rFonts w:cstheme="minorHAnsi"/>
              </w:rPr>
              <w:t xml:space="preserve"> </w:t>
            </w:r>
            <w:r w:rsidRPr="007B0FDD">
              <w:rPr>
                <w:rFonts w:cstheme="minorHAnsi"/>
              </w:rPr>
              <w:t xml:space="preserve">by the estimated daily evaporation rate (3.44 mm/day; Engineers report, MWSC) by the number of days in 1 year (365). This level of evaporation is assumed to continue for the next 30 years. </w:t>
            </w:r>
          </w:p>
          <w:p w:rsidR="00DA23AA" w:rsidRPr="007B0FDD" w:rsidRDefault="00DA23AA" w:rsidP="00DA23AA">
            <w:pPr>
              <w:rPr>
                <w:rFonts w:cstheme="minorHAnsi"/>
              </w:rPr>
            </w:pPr>
          </w:p>
          <w:p w:rsidR="00DA23AA" w:rsidRPr="007B0FDD" w:rsidRDefault="00DA23AA" w:rsidP="00DA23AA">
            <w:pPr>
              <w:rPr>
                <w:rFonts w:cstheme="minorHAnsi"/>
              </w:rPr>
            </w:pPr>
            <w:r w:rsidRPr="007B0FDD">
              <w:rPr>
                <w:rFonts w:cstheme="minorHAnsi"/>
              </w:rPr>
              <w:t xml:space="preserve">The new evaporation covers is assumed to completely mitigate evaporation losses. It is further assumed that rainfall hitting the covers will not be captured. </w:t>
            </w:r>
          </w:p>
        </w:tc>
      </w:tr>
      <w:tr w:rsidR="00DA23AA" w:rsidRPr="007B0FDD" w:rsidTr="00DA23AA">
        <w:tc>
          <w:tcPr>
            <w:tcW w:w="2518" w:type="dxa"/>
          </w:tcPr>
          <w:p w:rsidR="00DA23AA" w:rsidRPr="007B0FDD" w:rsidRDefault="00DA23AA" w:rsidP="00DA23AA">
            <w:pPr>
              <w:spacing w:after="200" w:line="269" w:lineRule="auto"/>
              <w:rPr>
                <w:rFonts w:cstheme="minorHAnsi"/>
              </w:rPr>
            </w:pPr>
            <w:r w:rsidRPr="007B0FDD">
              <w:rPr>
                <w:rFonts w:cstheme="minorHAnsi"/>
              </w:rPr>
              <w:t>3. Repair and replace leaking pipes</w:t>
            </w:r>
          </w:p>
        </w:tc>
        <w:tc>
          <w:tcPr>
            <w:tcW w:w="6662" w:type="dxa"/>
          </w:tcPr>
          <w:p w:rsidR="00DA23AA" w:rsidRPr="007B0FDD" w:rsidRDefault="00DA23AA" w:rsidP="00DA23AA">
            <w:pPr>
              <w:rPr>
                <w:rFonts w:cstheme="minorHAnsi"/>
              </w:rPr>
            </w:pPr>
            <w:r w:rsidRPr="007B0FDD">
              <w:rPr>
                <w:rFonts w:cstheme="minorHAnsi"/>
              </w:rPr>
              <w:t>Current leakage losses from pipes is estimated to be 173,514 m</w:t>
            </w:r>
            <w:r w:rsidRPr="007B0FDD">
              <w:rPr>
                <w:rFonts w:eastAsia="Times New Roman" w:cstheme="minorHAnsi"/>
                <w:vertAlign w:val="superscript"/>
                <w:lang w:eastAsia="en-AU"/>
              </w:rPr>
              <w:t>3</w:t>
            </w:r>
            <w:r w:rsidRPr="007B0FDD">
              <w:rPr>
                <w:rFonts w:cstheme="minorHAnsi"/>
              </w:rPr>
              <w:t>/year. This is calculated by multiplying the current volume of water flowing through the pipes (347,000 m</w:t>
            </w:r>
            <w:r w:rsidRPr="007B0FDD">
              <w:rPr>
                <w:rFonts w:eastAsia="Times New Roman" w:cstheme="minorHAnsi"/>
                <w:vertAlign w:val="superscript"/>
                <w:lang w:eastAsia="en-AU"/>
              </w:rPr>
              <w:t>3</w:t>
            </w:r>
            <w:r w:rsidRPr="007B0FDD">
              <w:rPr>
                <w:rFonts w:cstheme="minorHAnsi"/>
              </w:rPr>
              <w:t xml:space="preserve">/year; MWSC) by the leakage rate (estimated at 50%; MWSC). This level of leakage was assumed to continue into the future. </w:t>
            </w:r>
          </w:p>
          <w:p w:rsidR="00DA23AA" w:rsidRPr="007B0FDD" w:rsidRDefault="00DA23AA" w:rsidP="00DA23AA">
            <w:pPr>
              <w:rPr>
                <w:rFonts w:cstheme="minorHAnsi"/>
              </w:rPr>
            </w:pPr>
          </w:p>
          <w:p w:rsidR="00DA23AA" w:rsidRPr="007B0FDD" w:rsidRDefault="00DA23AA" w:rsidP="00DA23AA">
            <w:pPr>
              <w:rPr>
                <w:rFonts w:cstheme="minorHAnsi"/>
              </w:rPr>
            </w:pPr>
            <w:r w:rsidRPr="007B0FDD">
              <w:rPr>
                <w:rFonts w:cstheme="minorHAnsi"/>
              </w:rPr>
              <w:t>With repair and replacement of leaking pipes, the leakage rate from pipes is expected to be reduced to 25% of flow volumes (MWSC), which equates to a water saving of 86,757 m</w:t>
            </w:r>
            <w:r w:rsidRPr="007B0FDD">
              <w:rPr>
                <w:rFonts w:eastAsia="Times New Roman" w:cstheme="minorHAnsi"/>
                <w:vertAlign w:val="superscript"/>
                <w:lang w:eastAsia="en-AU"/>
              </w:rPr>
              <w:t>3</w:t>
            </w:r>
            <w:r w:rsidRPr="007B0FDD">
              <w:rPr>
                <w:rFonts w:cstheme="minorHAnsi"/>
              </w:rPr>
              <w:t>.</w:t>
            </w:r>
          </w:p>
        </w:tc>
      </w:tr>
    </w:tbl>
    <w:p w:rsidR="00F17C28" w:rsidRPr="000F1E3C" w:rsidRDefault="00F17C28" w:rsidP="000F1E3C"/>
    <w:sectPr w:rsidR="00F17C28" w:rsidRPr="000F1E3C" w:rsidSect="00E541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C3D" w:rsidRDefault="00890C3D" w:rsidP="00BA6520">
      <w:pPr>
        <w:spacing w:after="0" w:line="240" w:lineRule="auto"/>
      </w:pPr>
      <w:r>
        <w:separator/>
      </w:r>
    </w:p>
  </w:endnote>
  <w:endnote w:type="continuationSeparator" w:id="1">
    <w:p w:rsidR="00890C3D" w:rsidRDefault="00890C3D" w:rsidP="00BA6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swiss"/>
    <w:notTrueType/>
    <w:pitch w:val="default"/>
    <w:sig w:usb0="00000003" w:usb1="00000000" w:usb2="00000000" w:usb3="00000000" w:csb0="00000001" w:csb1="00000000"/>
  </w:font>
  <w:font w:name="DIN">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AA" w:rsidRDefault="00DA2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AA" w:rsidRDefault="00DA23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AA" w:rsidRDefault="00DA2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C3D" w:rsidRDefault="00890C3D" w:rsidP="00BA6520">
      <w:pPr>
        <w:spacing w:after="0" w:line="240" w:lineRule="auto"/>
      </w:pPr>
      <w:r>
        <w:separator/>
      </w:r>
    </w:p>
  </w:footnote>
  <w:footnote w:type="continuationSeparator" w:id="1">
    <w:p w:rsidR="00890C3D" w:rsidRDefault="00890C3D" w:rsidP="00BA6520">
      <w:pPr>
        <w:spacing w:after="0" w:line="240" w:lineRule="auto"/>
      </w:pPr>
      <w:r>
        <w:continuationSeparator/>
      </w:r>
    </w:p>
  </w:footnote>
  <w:footnote w:id="2">
    <w:p w:rsidR="00DA23AA" w:rsidRDefault="00DA23AA">
      <w:pPr>
        <w:pStyle w:val="FootnoteText"/>
      </w:pPr>
      <w:r>
        <w:rPr>
          <w:rStyle w:val="FootnoteReference"/>
        </w:rPr>
        <w:footnoteRef/>
      </w:r>
      <w:r>
        <w:t xml:space="preserve"> this appendix can be changed to the 4 case studies prepared for the P-CBA in Kosrae, once completed.</w:t>
      </w:r>
    </w:p>
  </w:footnote>
  <w:footnote w:id="3">
    <w:p w:rsidR="00DA23AA" w:rsidRDefault="00DA23AA">
      <w:pPr>
        <w:pStyle w:val="FootnoteText"/>
      </w:pPr>
      <w:r>
        <w:rPr>
          <w:rStyle w:val="FootnoteReference"/>
        </w:rPr>
        <w:footnoteRef/>
      </w:r>
      <w:r>
        <w:t xml:space="preserve"> per capita water demand is reported between 33-45 gallons per day (SOPAC, 2007b; EPPSO, 2010), although this range seems unsubstantiated by any household studies or data. </w:t>
      </w:r>
    </w:p>
  </w:footnote>
  <w:footnote w:id="4">
    <w:p w:rsidR="009B0420" w:rsidRDefault="009B0420">
      <w:pPr>
        <w:pStyle w:val="FootnoteText"/>
      </w:pPr>
      <w:r>
        <w:rPr>
          <w:rStyle w:val="FootnoteReference"/>
        </w:rPr>
        <w:footnoteRef/>
      </w:r>
      <w:r>
        <w:t xml:space="preserve"> </w:t>
      </w:r>
      <w:r>
        <w:rPr>
          <w:rFonts w:cstheme="minorHAnsi"/>
          <w:szCs w:val="22"/>
        </w:rPr>
        <w:t>Where community members fully understand the health risks of drinking poor quality or insufficient water and where health services are not significantly subsidised (such that individuals consider the full cost of health services in their decisions to purchase water), then the value of water in the first benefit category should capture most of the health-related benefits of additional water supply. However, in practice these conditions do not sometimes hold and so some proportion of health benefits from additional water supply should be considered separately.</w:t>
      </w:r>
    </w:p>
  </w:footnote>
  <w:footnote w:id="5">
    <w:p w:rsidR="0085462F" w:rsidRDefault="0085462F">
      <w:pPr>
        <w:pStyle w:val="FootnoteText"/>
      </w:pPr>
      <w:r>
        <w:rPr>
          <w:rStyle w:val="FootnoteReference"/>
        </w:rPr>
        <w:footnoteRef/>
      </w:r>
      <w:r>
        <w:t xml:space="preserve"> ideally, a reasoning and rationale for this lifespan should be included.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AA" w:rsidRDefault="00DA2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AA" w:rsidRDefault="00DA23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AA" w:rsidRDefault="00DA2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D42"/>
    <w:multiLevelType w:val="hybridMultilevel"/>
    <w:tmpl w:val="40241F5C"/>
    <w:lvl w:ilvl="0" w:tplc="D4C62D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11987"/>
    <w:multiLevelType w:val="hybridMultilevel"/>
    <w:tmpl w:val="E65AA5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6612B"/>
    <w:multiLevelType w:val="hybridMultilevel"/>
    <w:tmpl w:val="14D204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73657"/>
    <w:multiLevelType w:val="hybridMultilevel"/>
    <w:tmpl w:val="D9E60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B94505"/>
    <w:multiLevelType w:val="hybridMultilevel"/>
    <w:tmpl w:val="435C8D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FE5F78"/>
    <w:multiLevelType w:val="hybridMultilevel"/>
    <w:tmpl w:val="9B80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AF30AA"/>
    <w:multiLevelType w:val="hybridMultilevel"/>
    <w:tmpl w:val="6BE817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7D06FD"/>
    <w:multiLevelType w:val="hybridMultilevel"/>
    <w:tmpl w:val="7D2A1F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666C46"/>
    <w:multiLevelType w:val="hybridMultilevel"/>
    <w:tmpl w:val="0BB44E3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3F1C74"/>
    <w:multiLevelType w:val="hybridMultilevel"/>
    <w:tmpl w:val="A592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330837"/>
    <w:multiLevelType w:val="hybridMultilevel"/>
    <w:tmpl w:val="AC884D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472B95"/>
    <w:multiLevelType w:val="hybridMultilevel"/>
    <w:tmpl w:val="474204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2"/>
  </w:num>
  <w:num w:numId="6">
    <w:abstractNumId w:val="11"/>
  </w:num>
  <w:num w:numId="7">
    <w:abstractNumId w:val="9"/>
  </w:num>
  <w:num w:numId="8">
    <w:abstractNumId w:val="5"/>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w:hdrShapeDefaults>
  <w:footnotePr>
    <w:footnote w:id="0"/>
    <w:footnote w:id="1"/>
  </w:footnotePr>
  <w:endnotePr>
    <w:endnote w:id="0"/>
    <w:endnote w:id="1"/>
  </w:endnotePr>
  <w:compat/>
  <w:rsids>
    <w:rsidRoot w:val="003C58B9"/>
    <w:rsid w:val="0006242D"/>
    <w:rsid w:val="00074645"/>
    <w:rsid w:val="000A0D0A"/>
    <w:rsid w:val="000A4929"/>
    <w:rsid w:val="000C6EB7"/>
    <w:rsid w:val="000E734D"/>
    <w:rsid w:val="000F1E3C"/>
    <w:rsid w:val="001B66BF"/>
    <w:rsid w:val="001C3399"/>
    <w:rsid w:val="00220F8B"/>
    <w:rsid w:val="0023404B"/>
    <w:rsid w:val="00280400"/>
    <w:rsid w:val="002953C8"/>
    <w:rsid w:val="00314364"/>
    <w:rsid w:val="00335BB9"/>
    <w:rsid w:val="00355E54"/>
    <w:rsid w:val="003730FC"/>
    <w:rsid w:val="003915A0"/>
    <w:rsid w:val="00393339"/>
    <w:rsid w:val="003C58B9"/>
    <w:rsid w:val="00410F9D"/>
    <w:rsid w:val="00415A2B"/>
    <w:rsid w:val="00426BC0"/>
    <w:rsid w:val="0049256C"/>
    <w:rsid w:val="004A6AB3"/>
    <w:rsid w:val="004B3B3E"/>
    <w:rsid w:val="004C4BDC"/>
    <w:rsid w:val="004F60D1"/>
    <w:rsid w:val="0050651D"/>
    <w:rsid w:val="0052283F"/>
    <w:rsid w:val="0056649B"/>
    <w:rsid w:val="005868BA"/>
    <w:rsid w:val="005B20F7"/>
    <w:rsid w:val="006105B1"/>
    <w:rsid w:val="00693793"/>
    <w:rsid w:val="006B3AAA"/>
    <w:rsid w:val="00725E0F"/>
    <w:rsid w:val="007274B0"/>
    <w:rsid w:val="007277B2"/>
    <w:rsid w:val="00741A62"/>
    <w:rsid w:val="0075248B"/>
    <w:rsid w:val="00756F28"/>
    <w:rsid w:val="007747B1"/>
    <w:rsid w:val="00787DF0"/>
    <w:rsid w:val="007B0FDD"/>
    <w:rsid w:val="007B6AF1"/>
    <w:rsid w:val="008078E3"/>
    <w:rsid w:val="00816349"/>
    <w:rsid w:val="008276EF"/>
    <w:rsid w:val="00840F37"/>
    <w:rsid w:val="0085462F"/>
    <w:rsid w:val="00890C3D"/>
    <w:rsid w:val="0090040F"/>
    <w:rsid w:val="009344E8"/>
    <w:rsid w:val="00937DBB"/>
    <w:rsid w:val="00966F79"/>
    <w:rsid w:val="0098491C"/>
    <w:rsid w:val="00996DCD"/>
    <w:rsid w:val="009B0420"/>
    <w:rsid w:val="00A13C2D"/>
    <w:rsid w:val="00A15E88"/>
    <w:rsid w:val="00A23163"/>
    <w:rsid w:val="00A23C22"/>
    <w:rsid w:val="00A270EA"/>
    <w:rsid w:val="00A4078E"/>
    <w:rsid w:val="00A62C1C"/>
    <w:rsid w:val="00A66928"/>
    <w:rsid w:val="00AA05B4"/>
    <w:rsid w:val="00AA2834"/>
    <w:rsid w:val="00AE3967"/>
    <w:rsid w:val="00BA0CB0"/>
    <w:rsid w:val="00BA6520"/>
    <w:rsid w:val="00BD3DBC"/>
    <w:rsid w:val="00C04E88"/>
    <w:rsid w:val="00C073C3"/>
    <w:rsid w:val="00CD0E38"/>
    <w:rsid w:val="00CD5EC4"/>
    <w:rsid w:val="00D51C29"/>
    <w:rsid w:val="00DA233D"/>
    <w:rsid w:val="00DA23AA"/>
    <w:rsid w:val="00E33325"/>
    <w:rsid w:val="00E541CB"/>
    <w:rsid w:val="00E67E65"/>
    <w:rsid w:val="00E95432"/>
    <w:rsid w:val="00EC606A"/>
    <w:rsid w:val="00F10DBD"/>
    <w:rsid w:val="00F14DBD"/>
    <w:rsid w:val="00F17C28"/>
    <w:rsid w:val="00FA2F87"/>
    <w:rsid w:val="00FB1B55"/>
    <w:rsid w:val="00FE69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CB"/>
  </w:style>
  <w:style w:type="paragraph" w:styleId="Heading1">
    <w:name w:val="heading 1"/>
    <w:basedOn w:val="Normal"/>
    <w:next w:val="Normal"/>
    <w:link w:val="Heading1Char"/>
    <w:uiPriority w:val="9"/>
    <w:qFormat/>
    <w:rsid w:val="00756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F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3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3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3339"/>
    <w:pPr>
      <w:ind w:left="720"/>
      <w:contextualSpacing/>
    </w:pPr>
  </w:style>
  <w:style w:type="character" w:customStyle="1" w:styleId="Heading1Char">
    <w:name w:val="Heading 1 Char"/>
    <w:basedOn w:val="DefaultParagraphFont"/>
    <w:link w:val="Heading1"/>
    <w:uiPriority w:val="9"/>
    <w:rsid w:val="00756F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6F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23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33D"/>
    <w:rPr>
      <w:rFonts w:asciiTheme="majorHAnsi" w:eastAsiaTheme="majorEastAsia" w:hAnsiTheme="majorHAnsi" w:cstheme="majorBidi"/>
      <w:b/>
      <w:bCs/>
      <w:i/>
      <w:iCs/>
      <w:color w:val="4F81BD" w:themeColor="accent1"/>
    </w:rPr>
  </w:style>
  <w:style w:type="paragraph" w:styleId="FootnoteText">
    <w:name w:val="footnote text"/>
    <w:aliases w:val="fn,Footnote Text Char Char Char Char,Footnote Text Char Char,ft,Footnote Text Char Char Char,Paragraph Footnote"/>
    <w:basedOn w:val="Normal"/>
    <w:link w:val="FootnoteTextChar"/>
    <w:uiPriority w:val="99"/>
    <w:unhideWhenUsed/>
    <w:rsid w:val="00BA6520"/>
    <w:pPr>
      <w:spacing w:after="0" w:line="240" w:lineRule="auto"/>
    </w:pPr>
    <w:rPr>
      <w:sz w:val="20"/>
      <w:szCs w:val="20"/>
    </w:rPr>
  </w:style>
  <w:style w:type="character" w:customStyle="1" w:styleId="FootnoteTextChar">
    <w:name w:val="Footnote Text Char"/>
    <w:aliases w:val="fn Char,Footnote Text Char Char Char Char Char,Footnote Text Char Char Char1,ft Char,Footnote Text Char Char Char Char1,Paragraph Footnote Char"/>
    <w:basedOn w:val="DefaultParagraphFont"/>
    <w:link w:val="FootnoteText"/>
    <w:uiPriority w:val="99"/>
    <w:rsid w:val="00BA6520"/>
    <w:rPr>
      <w:sz w:val="20"/>
      <w:szCs w:val="20"/>
    </w:rPr>
  </w:style>
  <w:style w:type="character" w:styleId="FootnoteReference">
    <w:name w:val="footnote reference"/>
    <w:aliases w:val="ftref"/>
    <w:basedOn w:val="DefaultParagraphFont"/>
    <w:uiPriority w:val="99"/>
    <w:unhideWhenUsed/>
    <w:rsid w:val="00BA6520"/>
    <w:rPr>
      <w:vertAlign w:val="superscript"/>
    </w:rPr>
  </w:style>
  <w:style w:type="paragraph" w:styleId="Header">
    <w:name w:val="header"/>
    <w:basedOn w:val="Normal"/>
    <w:link w:val="HeaderChar"/>
    <w:uiPriority w:val="99"/>
    <w:semiHidden/>
    <w:unhideWhenUsed/>
    <w:rsid w:val="00A669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6928"/>
  </w:style>
  <w:style w:type="paragraph" w:styleId="Footer">
    <w:name w:val="footer"/>
    <w:basedOn w:val="Normal"/>
    <w:link w:val="FooterChar"/>
    <w:uiPriority w:val="99"/>
    <w:semiHidden/>
    <w:unhideWhenUsed/>
    <w:rsid w:val="00A669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6928"/>
  </w:style>
  <w:style w:type="character" w:styleId="CommentReference">
    <w:name w:val="annotation reference"/>
    <w:basedOn w:val="DefaultParagraphFont"/>
    <w:unhideWhenUsed/>
    <w:rsid w:val="000F1E3C"/>
    <w:rPr>
      <w:sz w:val="16"/>
      <w:szCs w:val="16"/>
    </w:rPr>
  </w:style>
  <w:style w:type="paragraph" w:styleId="CommentText">
    <w:name w:val="annotation text"/>
    <w:basedOn w:val="Normal"/>
    <w:link w:val="CommentTextChar"/>
    <w:uiPriority w:val="99"/>
    <w:unhideWhenUsed/>
    <w:rsid w:val="000F1E3C"/>
    <w:pPr>
      <w:spacing w:line="240" w:lineRule="auto"/>
    </w:pPr>
    <w:rPr>
      <w:sz w:val="20"/>
      <w:szCs w:val="20"/>
    </w:rPr>
  </w:style>
  <w:style w:type="character" w:customStyle="1" w:styleId="CommentTextChar">
    <w:name w:val="Comment Text Char"/>
    <w:basedOn w:val="DefaultParagraphFont"/>
    <w:link w:val="CommentText"/>
    <w:uiPriority w:val="99"/>
    <w:rsid w:val="000F1E3C"/>
    <w:rPr>
      <w:sz w:val="20"/>
      <w:szCs w:val="20"/>
    </w:rPr>
  </w:style>
  <w:style w:type="paragraph" w:styleId="CommentSubject">
    <w:name w:val="annotation subject"/>
    <w:basedOn w:val="CommentText"/>
    <w:next w:val="CommentText"/>
    <w:link w:val="CommentSubjectChar"/>
    <w:uiPriority w:val="99"/>
    <w:semiHidden/>
    <w:unhideWhenUsed/>
    <w:rsid w:val="000F1E3C"/>
    <w:rPr>
      <w:b/>
      <w:bCs/>
    </w:rPr>
  </w:style>
  <w:style w:type="character" w:customStyle="1" w:styleId="CommentSubjectChar">
    <w:name w:val="Comment Subject Char"/>
    <w:basedOn w:val="CommentTextChar"/>
    <w:link w:val="CommentSubject"/>
    <w:uiPriority w:val="99"/>
    <w:semiHidden/>
    <w:rsid w:val="000F1E3C"/>
    <w:rPr>
      <w:b/>
      <w:bCs/>
    </w:rPr>
  </w:style>
  <w:style w:type="paragraph" w:styleId="BalloonText">
    <w:name w:val="Balloon Text"/>
    <w:basedOn w:val="Normal"/>
    <w:link w:val="BalloonTextChar"/>
    <w:uiPriority w:val="99"/>
    <w:semiHidden/>
    <w:unhideWhenUsed/>
    <w:rsid w:val="000F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3C"/>
    <w:rPr>
      <w:rFonts w:ascii="Tahoma" w:hAnsi="Tahoma" w:cs="Tahoma"/>
      <w:sz w:val="16"/>
      <w:szCs w:val="16"/>
    </w:rPr>
  </w:style>
  <w:style w:type="paragraph" w:styleId="Caption">
    <w:name w:val="caption"/>
    <w:basedOn w:val="Normal"/>
    <w:next w:val="Normal"/>
    <w:uiPriority w:val="35"/>
    <w:unhideWhenUsed/>
    <w:qFormat/>
    <w:rsid w:val="007B6AF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E647-3BF3-4D7C-8F86-0065D812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aaronb.ext</dc:creator>
  <cp:lastModifiedBy>aaronb.ext</cp:lastModifiedBy>
  <cp:revision>2</cp:revision>
  <dcterms:created xsi:type="dcterms:W3CDTF">2014-10-23T20:49:00Z</dcterms:created>
  <dcterms:modified xsi:type="dcterms:W3CDTF">2014-10-23T20:49:00Z</dcterms:modified>
</cp:coreProperties>
</file>